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ascii="方正小标宋简体" w:hAnsi="Calibri" w:eastAsia="方正小标宋简体" w:cs="Times New Roman"/>
          <w:kern w:val="0"/>
          <w:sz w:val="44"/>
          <w:szCs w:val="44"/>
          <w:highlight w:val="none"/>
        </w:rPr>
      </w:pPr>
      <w:bookmarkStart w:id="1" w:name="_GoBack"/>
      <w:bookmarkEnd w:id="1"/>
    </w:p>
    <w:p>
      <w:pPr>
        <w:adjustRightInd w:val="0"/>
        <w:snapToGrid w:val="0"/>
        <w:spacing w:line="600" w:lineRule="exact"/>
        <w:jc w:val="center"/>
        <w:rPr>
          <w:rFonts w:ascii="方正小标宋简体" w:hAnsi="Calibri" w:eastAsia="方正小标宋简体" w:cs="Times New Roman"/>
          <w:kern w:val="0"/>
          <w:sz w:val="44"/>
          <w:szCs w:val="44"/>
          <w:highlight w:val="none"/>
        </w:rPr>
      </w:pPr>
    </w:p>
    <w:p>
      <w:pPr>
        <w:adjustRightInd w:val="0"/>
        <w:snapToGrid w:val="0"/>
        <w:spacing w:line="600" w:lineRule="exact"/>
        <w:jc w:val="center"/>
        <w:rPr>
          <w:rFonts w:ascii="方正小标宋简体" w:hAnsi="Calibri" w:eastAsia="方正小标宋简体" w:cs="Times New Roman"/>
          <w:kern w:val="0"/>
          <w:sz w:val="44"/>
          <w:szCs w:val="44"/>
          <w:highlight w:val="none"/>
        </w:rPr>
      </w:pPr>
      <w:r>
        <w:rPr>
          <w:rFonts w:hint="eastAsia" w:ascii="方正小标宋简体" w:hAnsi="Calibri" w:eastAsia="方正小标宋简体" w:cs="Times New Roman"/>
          <w:kern w:val="0"/>
          <w:sz w:val="44"/>
          <w:szCs w:val="44"/>
          <w:highlight w:val="none"/>
        </w:rPr>
        <w:t>通州</w:t>
      </w:r>
      <w:r>
        <w:rPr>
          <w:rFonts w:ascii="方正小标宋简体" w:hAnsi="Calibri" w:eastAsia="方正小标宋简体" w:cs="Times New Roman"/>
          <w:kern w:val="0"/>
          <w:sz w:val="44"/>
          <w:szCs w:val="44"/>
          <w:highlight w:val="none"/>
        </w:rPr>
        <w:t>区</w:t>
      </w:r>
      <w:r>
        <w:rPr>
          <w:rFonts w:hint="eastAsia" w:ascii="方正小标宋简体" w:hAnsi="Calibri" w:eastAsia="方正小标宋简体" w:cs="Times New Roman"/>
          <w:kern w:val="0"/>
          <w:sz w:val="44"/>
          <w:szCs w:val="44"/>
          <w:highlight w:val="none"/>
        </w:rPr>
        <w:t>重点企业高管及专业人士</w:t>
      </w:r>
      <w:r>
        <w:rPr>
          <w:rFonts w:ascii="方正小标宋简体" w:hAnsi="Calibri" w:eastAsia="方正小标宋简体" w:cs="Times New Roman"/>
          <w:kern w:val="0"/>
          <w:sz w:val="44"/>
          <w:szCs w:val="44"/>
          <w:highlight w:val="none"/>
        </w:rPr>
        <w:t>服务</w:t>
      </w:r>
    </w:p>
    <w:p>
      <w:pPr>
        <w:adjustRightInd w:val="0"/>
        <w:snapToGrid w:val="0"/>
        <w:spacing w:line="600" w:lineRule="exact"/>
        <w:jc w:val="center"/>
        <w:rPr>
          <w:rFonts w:ascii="方正小标宋简体" w:hAnsi="Calibri" w:eastAsia="方正小标宋简体" w:cs="Times New Roman"/>
          <w:kern w:val="0"/>
          <w:sz w:val="44"/>
          <w:szCs w:val="44"/>
          <w:highlight w:val="none"/>
        </w:rPr>
      </w:pPr>
      <w:r>
        <w:rPr>
          <w:rFonts w:hint="eastAsia" w:ascii="方正小标宋简体" w:hAnsi="Calibri" w:eastAsia="方正小标宋简体" w:cs="Times New Roman"/>
          <w:kern w:val="0"/>
          <w:sz w:val="44"/>
          <w:szCs w:val="44"/>
          <w:highlight w:val="none"/>
        </w:rPr>
        <w:t>实施办法</w:t>
      </w:r>
    </w:p>
    <w:p>
      <w:pPr>
        <w:widowControl/>
        <w:spacing w:line="600" w:lineRule="exact"/>
        <w:jc w:val="left"/>
        <w:rPr>
          <w:rFonts w:hint="eastAsia" w:ascii="&amp;quot" w:hAnsi="&amp;quot" w:eastAsia="宋体" w:cs="宋体"/>
          <w:kern w:val="0"/>
          <w:sz w:val="24"/>
          <w:szCs w:val="24"/>
          <w:highlight w:val="none"/>
        </w:rPr>
      </w:pPr>
    </w:p>
    <w:p>
      <w:pPr>
        <w:widowControl/>
        <w:adjustRightInd w:val="0"/>
        <w:snapToGrid w:val="0"/>
        <w:spacing w:line="600" w:lineRule="exact"/>
        <w:jc w:val="center"/>
        <w:outlineLvl w:val="0"/>
        <w:rPr>
          <w:rFonts w:ascii="黑体" w:hAnsi="黑体" w:eastAsia="黑体" w:cs="宋体"/>
          <w:bCs/>
          <w:kern w:val="0"/>
          <w:sz w:val="32"/>
          <w:szCs w:val="32"/>
          <w:highlight w:val="none"/>
        </w:rPr>
      </w:pPr>
      <w:r>
        <w:rPr>
          <w:rFonts w:ascii="黑体" w:hAnsi="黑体" w:eastAsia="黑体" w:cs="宋体"/>
          <w:bCs/>
          <w:kern w:val="0"/>
          <w:sz w:val="32"/>
          <w:szCs w:val="32"/>
          <w:highlight w:val="none"/>
        </w:rPr>
        <w:t>第一章　总则</w:t>
      </w:r>
    </w:p>
    <w:p>
      <w:pPr>
        <w:numPr>
          <w:ilvl w:val="0"/>
          <w:numId w:val="1"/>
        </w:numPr>
        <w:adjustRightInd w:val="0"/>
        <w:snapToGrid w:val="0"/>
        <w:spacing w:line="600" w:lineRule="exact"/>
        <w:ind w:left="0" w:firstLine="641"/>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为</w:t>
      </w:r>
      <w:r>
        <w:rPr>
          <w:rFonts w:ascii="仿宋_GB2312" w:hAnsi="仿宋" w:eastAsia="仿宋_GB2312" w:cs="Times New Roman"/>
          <w:kern w:val="0"/>
          <w:sz w:val="32"/>
          <w:szCs w:val="32"/>
          <w:highlight w:val="none"/>
        </w:rPr>
        <w:t>进一步优化</w:t>
      </w:r>
      <w:r>
        <w:rPr>
          <w:rFonts w:hint="eastAsia" w:ascii="仿宋_GB2312" w:hAnsi="仿宋" w:eastAsia="仿宋_GB2312" w:cs="Times New Roman"/>
          <w:kern w:val="0"/>
          <w:sz w:val="32"/>
          <w:szCs w:val="32"/>
          <w:highlight w:val="none"/>
        </w:rPr>
        <w:t>区域营商</w:t>
      </w:r>
      <w:r>
        <w:rPr>
          <w:rFonts w:ascii="仿宋_GB2312" w:hAnsi="仿宋" w:eastAsia="仿宋_GB2312" w:cs="Times New Roman"/>
          <w:kern w:val="0"/>
          <w:sz w:val="32"/>
          <w:szCs w:val="32"/>
          <w:highlight w:val="none"/>
        </w:rPr>
        <w:t>环境，</w:t>
      </w:r>
      <w:r>
        <w:rPr>
          <w:rFonts w:hint="eastAsia" w:ascii="仿宋_GB2312" w:hAnsi="仿宋" w:eastAsia="仿宋_GB2312" w:cs="Times New Roman"/>
          <w:kern w:val="0"/>
          <w:sz w:val="32"/>
          <w:szCs w:val="32"/>
          <w:highlight w:val="none"/>
        </w:rPr>
        <w:t>服务好通州区重点企业，加快建设与城市副中心发展定位相匹配的发展环境，根据《关于加快推进北京城市副中心高精尖产业发展实施意见》，结合通州区实际，</w:t>
      </w:r>
      <w:r>
        <w:rPr>
          <w:rFonts w:ascii="仿宋_GB2312" w:hAnsi="仿宋" w:eastAsia="仿宋_GB2312" w:cs="Times New Roman"/>
          <w:kern w:val="0"/>
          <w:sz w:val="32"/>
          <w:szCs w:val="32"/>
          <w:highlight w:val="none"/>
        </w:rPr>
        <w:t>制定本办法。</w:t>
      </w:r>
    </w:p>
    <w:p>
      <w:pPr>
        <w:numPr>
          <w:ilvl w:val="0"/>
          <w:numId w:val="1"/>
        </w:numPr>
        <w:adjustRightInd w:val="0"/>
        <w:snapToGrid w:val="0"/>
        <w:spacing w:line="600" w:lineRule="exact"/>
        <w:ind w:left="0" w:firstLine="641"/>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申报主体须满足以下基本条件：</w:t>
      </w:r>
    </w:p>
    <w:p>
      <w:pPr>
        <w:adjustRightInd w:val="0"/>
        <w:snapToGrid w:val="0"/>
        <w:spacing w:line="60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1</w:t>
      </w:r>
      <w:r>
        <w:rPr>
          <w:rFonts w:hint="eastAsia" w:ascii="仿宋_GB2312" w:hAnsi="等线" w:eastAsia="仿宋_GB2312" w:cs="Times New Roman"/>
          <w:sz w:val="32"/>
          <w:szCs w:val="32"/>
          <w:highlight w:val="none"/>
        </w:rPr>
        <w:t>.</w:t>
      </w:r>
      <w:r>
        <w:rPr>
          <w:rFonts w:hint="eastAsia" w:ascii="仿宋_GB2312" w:hAnsi="仿宋" w:eastAsia="仿宋_GB2312" w:cs="Times New Roman"/>
          <w:kern w:val="0"/>
          <w:sz w:val="32"/>
          <w:szCs w:val="32"/>
          <w:highlight w:val="none"/>
        </w:rPr>
        <w:t>2019年1月1日以后在通州区完成工商注册和税务登记，达到一定经营规模，具有独立法人资格并实际经营；</w:t>
      </w:r>
    </w:p>
    <w:p>
      <w:pPr>
        <w:adjustRightInd w:val="0"/>
        <w:snapToGrid w:val="0"/>
        <w:spacing w:line="60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2</w:t>
      </w:r>
      <w:r>
        <w:rPr>
          <w:rFonts w:hint="eastAsia" w:ascii="仿宋_GB2312" w:hAnsi="等线" w:eastAsia="仿宋_GB2312" w:cs="Times New Roman"/>
          <w:sz w:val="32"/>
          <w:szCs w:val="32"/>
          <w:highlight w:val="none"/>
        </w:rPr>
        <w:t>.</w:t>
      </w:r>
      <w:r>
        <w:rPr>
          <w:rFonts w:hint="eastAsia" w:ascii="仿宋_GB2312" w:hAnsi="仿宋" w:eastAsia="仿宋_GB2312" w:cs="Times New Roman"/>
          <w:kern w:val="0"/>
          <w:sz w:val="32"/>
          <w:szCs w:val="32"/>
          <w:highlight w:val="none"/>
        </w:rPr>
        <w:t>年度区域综合贡献不低于1000万元（含）；</w:t>
      </w:r>
    </w:p>
    <w:p>
      <w:pPr>
        <w:adjustRightInd w:val="0"/>
        <w:snapToGrid w:val="0"/>
        <w:spacing w:line="60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3.</w:t>
      </w:r>
      <w:r>
        <w:rPr>
          <w:rFonts w:hint="eastAsia" w:ascii="仿宋_GB2312" w:hAnsi="黑体" w:eastAsia="仿宋_GB2312" w:cs="Times New Roman"/>
          <w:sz w:val="32"/>
          <w:szCs w:val="32"/>
          <w:highlight w:val="none"/>
        </w:rPr>
        <w:t>符合</w:t>
      </w:r>
      <w:r>
        <w:rPr>
          <w:rFonts w:hint="eastAsia" w:ascii="仿宋_GB2312" w:hAnsi="黑体" w:eastAsia="仿宋_GB2312"/>
          <w:sz w:val="32"/>
          <w:szCs w:val="32"/>
          <w:highlight w:val="none"/>
        </w:rPr>
        <w:t>《北京市新增产业的禁止和限制目录》（现行最新版）、《通州区新增产业的禁止和限制目录》（现行最新版），</w:t>
      </w:r>
      <w:r>
        <w:rPr>
          <w:rFonts w:ascii="仿宋_GB2312" w:hAnsi="黑体" w:eastAsia="仿宋_GB2312" w:cs="Times New Roman"/>
          <w:sz w:val="32"/>
          <w:szCs w:val="32"/>
          <w:highlight w:val="none"/>
        </w:rPr>
        <w:t>通州区产业</w:t>
      </w:r>
      <w:r>
        <w:rPr>
          <w:rFonts w:hint="eastAsia" w:ascii="仿宋_GB2312" w:hAnsi="黑体" w:eastAsia="仿宋_GB2312" w:cs="Times New Roman"/>
          <w:sz w:val="32"/>
          <w:szCs w:val="32"/>
          <w:highlight w:val="none"/>
        </w:rPr>
        <w:t>发展方向和产业项目</w:t>
      </w:r>
      <w:r>
        <w:rPr>
          <w:rFonts w:ascii="仿宋_GB2312" w:hAnsi="黑体" w:eastAsia="仿宋_GB2312" w:cs="Times New Roman"/>
          <w:sz w:val="32"/>
          <w:szCs w:val="32"/>
          <w:highlight w:val="none"/>
        </w:rPr>
        <w:t>准入相关</w:t>
      </w:r>
      <w:r>
        <w:rPr>
          <w:rFonts w:hint="eastAsia" w:ascii="仿宋_GB2312" w:hAnsi="黑体" w:eastAsia="仿宋_GB2312" w:cs="Times New Roman"/>
          <w:sz w:val="32"/>
          <w:szCs w:val="32"/>
          <w:highlight w:val="none"/>
        </w:rPr>
        <w:t>要求</w:t>
      </w:r>
      <w:r>
        <w:rPr>
          <w:rFonts w:ascii="仿宋_GB2312" w:hAnsi="黑体" w:eastAsia="仿宋_GB2312" w:cs="Times New Roman"/>
          <w:sz w:val="32"/>
          <w:szCs w:val="32"/>
          <w:highlight w:val="none"/>
        </w:rPr>
        <w:t>。</w:t>
      </w:r>
    </w:p>
    <w:p>
      <w:pPr>
        <w:numPr>
          <w:ilvl w:val="0"/>
          <w:numId w:val="1"/>
        </w:numPr>
        <w:adjustRightInd w:val="0"/>
        <w:snapToGrid w:val="0"/>
        <w:spacing w:line="600" w:lineRule="exact"/>
        <w:ind w:left="0"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已在通州区获得落户奖励的企业，根据《通州区重点企业落户奖励实施办法》的相关规定，区域综合贡献应持续满足落户奖励实施办法的相关要求。</w:t>
      </w:r>
    </w:p>
    <w:p>
      <w:pPr>
        <w:numPr>
          <w:ilvl w:val="0"/>
          <w:numId w:val="1"/>
        </w:numPr>
        <w:adjustRightInd w:val="0"/>
        <w:snapToGrid w:val="0"/>
        <w:spacing w:line="600" w:lineRule="exact"/>
        <w:ind w:left="0"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经区产促会认定的其他通州区重点企业，可参照享受相关政策。</w:t>
      </w:r>
    </w:p>
    <w:p>
      <w:pPr>
        <w:numPr>
          <w:ilvl w:val="0"/>
          <w:numId w:val="1"/>
        </w:numPr>
        <w:adjustRightInd w:val="0"/>
        <w:snapToGrid w:val="0"/>
        <w:spacing w:line="600" w:lineRule="exact"/>
        <w:ind w:left="0" w:firstLine="640" w:firstLineChars="200"/>
        <w:rPr>
          <w:rFonts w:ascii="仿宋_GB2312" w:hAnsi="仿宋" w:eastAsia="仿宋_GB2312" w:cs="Times New Roman"/>
          <w:kern w:val="0"/>
          <w:sz w:val="32"/>
          <w:szCs w:val="32"/>
          <w:highlight w:val="none"/>
        </w:rPr>
      </w:pPr>
      <w:r>
        <w:rPr>
          <w:rFonts w:ascii="仿宋_GB2312" w:hAnsi="仿宋" w:eastAsia="仿宋_GB2312" w:cs="Times New Roman"/>
          <w:kern w:val="0"/>
          <w:sz w:val="32"/>
          <w:szCs w:val="32"/>
          <w:highlight w:val="none"/>
        </w:rPr>
        <w:t>2019年1月1日后登记注册的年度区域</w:t>
      </w:r>
      <w:r>
        <w:rPr>
          <w:rFonts w:hint="eastAsia" w:ascii="仿宋_GB2312" w:hAnsi="仿宋" w:eastAsia="仿宋_GB2312" w:cs="Times New Roman"/>
          <w:kern w:val="0"/>
          <w:sz w:val="32"/>
          <w:szCs w:val="32"/>
          <w:highlight w:val="none"/>
        </w:rPr>
        <w:t>综合</w:t>
      </w:r>
      <w:r>
        <w:rPr>
          <w:rFonts w:ascii="仿宋_GB2312" w:hAnsi="仿宋" w:eastAsia="仿宋_GB2312" w:cs="Times New Roman"/>
          <w:kern w:val="0"/>
          <w:sz w:val="32"/>
          <w:szCs w:val="32"/>
          <w:highlight w:val="none"/>
        </w:rPr>
        <w:t>贡献低于1000万元的企业、2019年1月1日前登记注册的企业，可申请享受通州区制定的其他人才政策。</w:t>
      </w:r>
    </w:p>
    <w:p>
      <w:pPr>
        <w:widowControl/>
        <w:adjustRightInd w:val="0"/>
        <w:snapToGrid w:val="0"/>
        <w:spacing w:line="600" w:lineRule="exact"/>
        <w:jc w:val="center"/>
        <w:outlineLvl w:val="0"/>
        <w:rPr>
          <w:rFonts w:ascii="黑体" w:hAnsi="黑体" w:eastAsia="黑体" w:cs="宋体"/>
          <w:bCs/>
          <w:kern w:val="0"/>
          <w:sz w:val="32"/>
          <w:szCs w:val="32"/>
          <w:highlight w:val="none"/>
        </w:rPr>
      </w:pPr>
      <w:r>
        <w:rPr>
          <w:rFonts w:ascii="黑体" w:hAnsi="黑体" w:eastAsia="黑体" w:cs="宋体"/>
          <w:bCs/>
          <w:kern w:val="0"/>
          <w:sz w:val="32"/>
          <w:szCs w:val="32"/>
          <w:highlight w:val="none"/>
        </w:rPr>
        <w:t>第二章　服务内容</w:t>
      </w:r>
    </w:p>
    <w:p>
      <w:pPr>
        <w:numPr>
          <w:ilvl w:val="0"/>
          <w:numId w:val="1"/>
        </w:numPr>
        <w:adjustRightInd w:val="0"/>
        <w:snapToGrid w:val="0"/>
        <w:spacing w:line="600" w:lineRule="exact"/>
        <w:ind w:left="0" w:firstLine="641"/>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住房租赁</w:t>
      </w:r>
      <w:r>
        <w:rPr>
          <w:rFonts w:ascii="仿宋_GB2312" w:hAnsi="仿宋" w:eastAsia="仿宋_GB2312" w:cs="Times New Roman"/>
          <w:kern w:val="0"/>
          <w:sz w:val="32"/>
          <w:szCs w:val="32"/>
          <w:highlight w:val="none"/>
        </w:rPr>
        <w:t>服务。</w:t>
      </w:r>
      <w:r>
        <w:rPr>
          <w:rFonts w:hint="eastAsia" w:ascii="仿宋_GB2312" w:hAnsi="仿宋" w:eastAsia="仿宋_GB2312" w:cs="Times New Roman"/>
          <w:kern w:val="0"/>
          <w:sz w:val="32"/>
          <w:szCs w:val="32"/>
          <w:highlight w:val="none"/>
        </w:rPr>
        <w:t>结合实际和相关政策，协调解决重点企业有突出贡献的高管及专业人士的住房需求。</w:t>
      </w:r>
    </w:p>
    <w:p>
      <w:pPr>
        <w:numPr>
          <w:ilvl w:val="0"/>
          <w:numId w:val="1"/>
        </w:numPr>
        <w:adjustRightInd w:val="0"/>
        <w:snapToGrid w:val="0"/>
        <w:spacing w:line="600" w:lineRule="exact"/>
        <w:ind w:left="0" w:firstLine="641"/>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进京落户服务。</w:t>
      </w:r>
      <w:r>
        <w:rPr>
          <w:rFonts w:hint="eastAsia" w:ascii="仿宋_GB2312" w:hAnsi="等线" w:eastAsia="仿宋_GB2312" w:cs="Times New Roman"/>
          <w:sz w:val="32"/>
          <w:szCs w:val="32"/>
          <w:highlight w:val="none"/>
        </w:rPr>
        <w:t>对区域经济发展贡献大、产业发展带动能力强的重点企业，</w:t>
      </w:r>
      <w:r>
        <w:rPr>
          <w:rFonts w:hint="eastAsia" w:ascii="仿宋_GB2312" w:hAnsi="仿宋" w:eastAsia="仿宋_GB2312" w:cs="Times New Roman"/>
          <w:kern w:val="0"/>
          <w:sz w:val="32"/>
          <w:szCs w:val="32"/>
          <w:highlight w:val="none"/>
        </w:rPr>
        <w:t>积极协助企业办理人才引进手续，积极协助企业办理非北京生源毕业生引进手续。</w:t>
      </w:r>
    </w:p>
    <w:p>
      <w:pPr>
        <w:numPr>
          <w:ilvl w:val="0"/>
          <w:numId w:val="1"/>
        </w:numPr>
        <w:adjustRightInd w:val="0"/>
        <w:snapToGrid w:val="0"/>
        <w:spacing w:line="600" w:lineRule="exact"/>
        <w:ind w:left="0" w:firstLine="641"/>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健康</w:t>
      </w:r>
      <w:r>
        <w:rPr>
          <w:rFonts w:ascii="仿宋_GB2312" w:hAnsi="仿宋" w:eastAsia="仿宋_GB2312" w:cs="Times New Roman"/>
          <w:kern w:val="0"/>
          <w:sz w:val="32"/>
          <w:szCs w:val="32"/>
          <w:highlight w:val="none"/>
        </w:rPr>
        <w:t>服务。</w:t>
      </w:r>
      <w:r>
        <w:rPr>
          <w:rFonts w:hint="eastAsia" w:ascii="仿宋_GB2312" w:hAnsi="仿宋" w:eastAsia="仿宋_GB2312" w:cs="Times New Roman"/>
          <w:kern w:val="0"/>
          <w:sz w:val="32"/>
          <w:szCs w:val="32"/>
          <w:highlight w:val="none"/>
        </w:rPr>
        <w:t>为重点企业有突出贡献的高管及专业人士</w:t>
      </w:r>
      <w:r>
        <w:rPr>
          <w:rFonts w:ascii="仿宋_GB2312" w:hAnsi="仿宋" w:eastAsia="仿宋_GB2312" w:cs="Times New Roman"/>
          <w:kern w:val="0"/>
          <w:sz w:val="32"/>
          <w:szCs w:val="32"/>
          <w:highlight w:val="none"/>
        </w:rPr>
        <w:t>提供</w:t>
      </w:r>
      <w:r>
        <w:rPr>
          <w:rFonts w:hint="eastAsia" w:ascii="仿宋_GB2312" w:hAnsi="仿宋" w:eastAsia="仿宋_GB2312" w:cs="Times New Roman"/>
          <w:kern w:val="0"/>
          <w:sz w:val="32"/>
          <w:szCs w:val="32"/>
          <w:highlight w:val="none"/>
        </w:rPr>
        <w:t>绿色医疗保健服务，包括门诊服务、住院服务、手术预约、保健服务、健康体检等“绿色通道”服务</w:t>
      </w:r>
      <w:r>
        <w:rPr>
          <w:rFonts w:ascii="仿宋_GB2312" w:hAnsi="仿宋" w:eastAsia="仿宋_GB2312" w:cs="Times New Roman"/>
          <w:kern w:val="0"/>
          <w:sz w:val="32"/>
          <w:szCs w:val="32"/>
          <w:highlight w:val="none"/>
        </w:rPr>
        <w:t>。</w:t>
      </w:r>
    </w:p>
    <w:p>
      <w:pPr>
        <w:numPr>
          <w:ilvl w:val="0"/>
          <w:numId w:val="1"/>
        </w:numPr>
        <w:adjustRightInd w:val="0"/>
        <w:snapToGrid w:val="0"/>
        <w:spacing w:line="600" w:lineRule="exact"/>
        <w:ind w:left="0" w:firstLine="641"/>
        <w:rPr>
          <w:rFonts w:ascii="仿宋_GB2312" w:hAnsi="仿宋" w:eastAsia="仿宋_GB2312" w:cs="Times New Roman"/>
          <w:kern w:val="0"/>
          <w:sz w:val="32"/>
          <w:szCs w:val="32"/>
          <w:highlight w:val="none"/>
        </w:rPr>
      </w:pPr>
      <w:r>
        <w:rPr>
          <w:rFonts w:ascii="仿宋_GB2312" w:hAnsi="仿宋" w:eastAsia="仿宋_GB2312" w:cs="Times New Roman"/>
          <w:kern w:val="0"/>
          <w:sz w:val="32"/>
          <w:szCs w:val="32"/>
          <w:highlight w:val="none"/>
        </w:rPr>
        <w:t>子女</w:t>
      </w:r>
      <w:r>
        <w:rPr>
          <w:rFonts w:hint="eastAsia" w:ascii="仿宋_GB2312" w:hAnsi="仿宋" w:eastAsia="仿宋_GB2312" w:cs="Times New Roman"/>
          <w:kern w:val="0"/>
          <w:sz w:val="32"/>
          <w:szCs w:val="32"/>
          <w:highlight w:val="none"/>
        </w:rPr>
        <w:t>入</w:t>
      </w:r>
      <w:r>
        <w:rPr>
          <w:rFonts w:ascii="仿宋_GB2312" w:hAnsi="仿宋" w:eastAsia="仿宋_GB2312" w:cs="Times New Roman"/>
          <w:kern w:val="0"/>
          <w:sz w:val="32"/>
          <w:szCs w:val="32"/>
          <w:highlight w:val="none"/>
        </w:rPr>
        <w:t>学</w:t>
      </w:r>
      <w:r>
        <w:rPr>
          <w:rFonts w:hint="eastAsia" w:ascii="仿宋_GB2312" w:hAnsi="仿宋" w:eastAsia="仿宋_GB2312" w:cs="Times New Roman"/>
          <w:kern w:val="0"/>
          <w:sz w:val="32"/>
          <w:szCs w:val="32"/>
          <w:highlight w:val="none"/>
        </w:rPr>
        <w:t>（园）</w:t>
      </w:r>
      <w:r>
        <w:rPr>
          <w:rFonts w:ascii="仿宋_GB2312" w:hAnsi="仿宋" w:eastAsia="仿宋_GB2312" w:cs="Times New Roman"/>
          <w:kern w:val="0"/>
          <w:sz w:val="32"/>
          <w:szCs w:val="32"/>
          <w:highlight w:val="none"/>
        </w:rPr>
        <w:t>服务。</w:t>
      </w:r>
      <w:r>
        <w:rPr>
          <w:rFonts w:hint="eastAsia" w:ascii="仿宋_GB2312" w:hAnsi="仿宋" w:eastAsia="仿宋_GB2312" w:cs="Times New Roman"/>
          <w:kern w:val="0"/>
          <w:sz w:val="32"/>
          <w:szCs w:val="32"/>
          <w:highlight w:val="none"/>
        </w:rPr>
        <w:t>在学前教育、义务教育各个学段，结合实际和相关政策，为重点企业有突出贡献的高管及专业人士提供适龄子女入学（园）协助服务。</w:t>
      </w:r>
    </w:p>
    <w:p>
      <w:pPr>
        <w:numPr>
          <w:ilvl w:val="0"/>
          <w:numId w:val="1"/>
        </w:numPr>
        <w:adjustRightInd w:val="0"/>
        <w:snapToGrid w:val="0"/>
        <w:spacing w:line="600" w:lineRule="exact"/>
        <w:ind w:left="0" w:firstLine="641"/>
        <w:rPr>
          <w:rFonts w:ascii="仿宋_GB2312" w:hAnsi="仿宋" w:eastAsia="仿宋_GB2312" w:cs="Times New Roman"/>
          <w:kern w:val="0"/>
          <w:sz w:val="32"/>
          <w:szCs w:val="32"/>
          <w:highlight w:val="none"/>
        </w:rPr>
      </w:pPr>
      <w:r>
        <w:rPr>
          <w:rFonts w:ascii="仿宋_GB2312" w:hAnsi="仿宋" w:eastAsia="仿宋_GB2312" w:cs="Times New Roman"/>
          <w:kern w:val="0"/>
          <w:sz w:val="32"/>
          <w:szCs w:val="32"/>
          <w:highlight w:val="none"/>
        </w:rPr>
        <w:t>政务协调服务。</w:t>
      </w:r>
      <w:r>
        <w:rPr>
          <w:rFonts w:hint="eastAsia" w:ascii="仿宋_GB2312" w:hAnsi="仿宋" w:eastAsia="仿宋_GB2312" w:cs="Times New Roman"/>
          <w:kern w:val="0"/>
          <w:sz w:val="32"/>
          <w:szCs w:val="32"/>
          <w:highlight w:val="none"/>
        </w:rPr>
        <w:t>为重点企业办理工商、税务以及人事服务等行政审批相关工作，提供“一对一”全程帮办代办服务及“绿色通道”服务。</w:t>
      </w:r>
      <w:bookmarkStart w:id="0" w:name="_Hlk20647366"/>
    </w:p>
    <w:p>
      <w:pPr>
        <w:numPr>
          <w:ilvl w:val="0"/>
          <w:numId w:val="1"/>
        </w:numPr>
        <w:adjustRightInd w:val="0"/>
        <w:snapToGrid w:val="0"/>
        <w:spacing w:line="600" w:lineRule="exact"/>
        <w:ind w:left="0" w:firstLine="641"/>
        <w:rPr>
          <w:rFonts w:ascii="仿宋_GB2312" w:hAnsi="仿宋" w:eastAsia="仿宋_GB2312" w:cs="Times New Roman"/>
          <w:kern w:val="0"/>
          <w:sz w:val="32"/>
          <w:szCs w:val="32"/>
          <w:highlight w:val="none"/>
        </w:rPr>
      </w:pPr>
      <w:r>
        <w:rPr>
          <w:rFonts w:ascii="仿宋_GB2312" w:hAnsi="仿宋" w:eastAsia="仿宋_GB2312" w:cs="Times New Roman"/>
          <w:kern w:val="0"/>
          <w:sz w:val="32"/>
          <w:szCs w:val="32"/>
          <w:highlight w:val="none"/>
        </w:rPr>
        <w:t>工作居住</w:t>
      </w:r>
      <w:r>
        <w:rPr>
          <w:rFonts w:hint="eastAsia" w:ascii="仿宋_GB2312" w:hAnsi="仿宋" w:eastAsia="仿宋_GB2312" w:cs="Times New Roman"/>
          <w:kern w:val="0"/>
          <w:sz w:val="32"/>
          <w:szCs w:val="32"/>
          <w:highlight w:val="none"/>
        </w:rPr>
        <w:t>证申办</w:t>
      </w:r>
      <w:r>
        <w:rPr>
          <w:rFonts w:ascii="仿宋_GB2312" w:hAnsi="仿宋" w:eastAsia="仿宋_GB2312" w:cs="Times New Roman"/>
          <w:kern w:val="0"/>
          <w:sz w:val="32"/>
          <w:szCs w:val="32"/>
          <w:highlight w:val="none"/>
        </w:rPr>
        <w:t>服务。</w:t>
      </w:r>
      <w:r>
        <w:rPr>
          <w:rFonts w:hint="eastAsia" w:ascii="仿宋_GB2312" w:hAnsi="仿宋" w:eastAsia="仿宋_GB2312" w:cs="Times New Roman"/>
          <w:kern w:val="0"/>
          <w:sz w:val="32"/>
          <w:szCs w:val="32"/>
          <w:highlight w:val="none"/>
        </w:rPr>
        <w:t>按照相关政策规定，积极协助重点企业非北京户籍的企业高管及专业人士申办工作居住证。</w:t>
      </w:r>
    </w:p>
    <w:bookmarkEnd w:id="0"/>
    <w:p>
      <w:pPr>
        <w:numPr>
          <w:ilvl w:val="0"/>
          <w:numId w:val="1"/>
        </w:numPr>
        <w:adjustRightInd w:val="0"/>
        <w:snapToGrid w:val="0"/>
        <w:spacing w:line="600" w:lineRule="exact"/>
        <w:ind w:left="0" w:firstLine="641"/>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出入境便利服务。按照相关规定，为重点企业高管及专业人士在办理出入境相关事宜时，提供“绿色通道”服务。</w:t>
      </w:r>
    </w:p>
    <w:p>
      <w:pPr>
        <w:numPr>
          <w:ilvl w:val="0"/>
          <w:numId w:val="1"/>
        </w:numPr>
        <w:adjustRightInd w:val="0"/>
        <w:snapToGrid w:val="0"/>
        <w:spacing w:line="600" w:lineRule="exact"/>
        <w:ind w:left="0" w:firstLine="641"/>
        <w:rPr>
          <w:rFonts w:ascii="仿宋_GB2312" w:hAnsi="仿宋" w:eastAsia="仿宋_GB2312" w:cs="Times New Roman"/>
          <w:kern w:val="0"/>
          <w:sz w:val="32"/>
          <w:szCs w:val="32"/>
          <w:highlight w:val="none"/>
        </w:rPr>
      </w:pPr>
      <w:r>
        <w:rPr>
          <w:rFonts w:ascii="仿宋_GB2312" w:hAnsi="仿宋" w:eastAsia="仿宋_GB2312" w:cs="Times New Roman"/>
          <w:kern w:val="0"/>
          <w:sz w:val="32"/>
          <w:szCs w:val="32"/>
          <w:highlight w:val="none"/>
        </w:rPr>
        <w:t>其它服务。经区</w:t>
      </w:r>
      <w:r>
        <w:rPr>
          <w:rFonts w:hint="eastAsia" w:ascii="仿宋_GB2312" w:hAnsi="仿宋" w:eastAsia="仿宋_GB2312" w:cs="Times New Roman"/>
          <w:kern w:val="0"/>
          <w:sz w:val="32"/>
          <w:szCs w:val="32"/>
          <w:highlight w:val="none"/>
        </w:rPr>
        <w:t>产促会</w:t>
      </w:r>
      <w:r>
        <w:rPr>
          <w:rFonts w:ascii="仿宋_GB2312" w:hAnsi="仿宋" w:eastAsia="仿宋_GB2312" w:cs="Times New Roman"/>
          <w:kern w:val="0"/>
          <w:sz w:val="32"/>
          <w:szCs w:val="32"/>
          <w:highlight w:val="none"/>
        </w:rPr>
        <w:t>研究确定的其它服务。</w:t>
      </w:r>
    </w:p>
    <w:p>
      <w:pPr>
        <w:widowControl/>
        <w:adjustRightInd w:val="0"/>
        <w:snapToGrid w:val="0"/>
        <w:spacing w:line="600" w:lineRule="exact"/>
        <w:jc w:val="center"/>
        <w:outlineLvl w:val="0"/>
        <w:rPr>
          <w:rFonts w:ascii="黑体" w:hAnsi="黑体" w:eastAsia="黑体" w:cs="宋体"/>
          <w:bCs/>
          <w:kern w:val="0"/>
          <w:sz w:val="32"/>
          <w:szCs w:val="32"/>
          <w:highlight w:val="none"/>
        </w:rPr>
      </w:pPr>
      <w:r>
        <w:rPr>
          <w:rFonts w:ascii="黑体" w:hAnsi="黑体" w:eastAsia="黑体" w:cs="宋体"/>
          <w:bCs/>
          <w:kern w:val="0"/>
          <w:sz w:val="32"/>
          <w:szCs w:val="32"/>
          <w:highlight w:val="none"/>
        </w:rPr>
        <w:t>第三章　</w:t>
      </w:r>
      <w:r>
        <w:rPr>
          <w:rFonts w:hint="eastAsia" w:ascii="黑体" w:hAnsi="黑体" w:eastAsia="黑体" w:cs="宋体"/>
          <w:bCs/>
          <w:kern w:val="0"/>
          <w:sz w:val="32"/>
          <w:szCs w:val="32"/>
          <w:highlight w:val="none"/>
        </w:rPr>
        <w:t>申报管理</w:t>
      </w:r>
    </w:p>
    <w:p>
      <w:pPr>
        <w:numPr>
          <w:ilvl w:val="0"/>
          <w:numId w:val="1"/>
        </w:numPr>
        <w:adjustRightInd w:val="0"/>
        <w:snapToGrid w:val="0"/>
        <w:spacing w:line="600" w:lineRule="exact"/>
        <w:ind w:left="0" w:firstLine="641"/>
        <w:rPr>
          <w:rFonts w:ascii="仿宋_GB2312" w:hAnsi="仿宋" w:eastAsia="仿宋_GB2312"/>
          <w:kern w:val="0"/>
          <w:sz w:val="32"/>
          <w:szCs w:val="32"/>
          <w:highlight w:val="none"/>
        </w:rPr>
      </w:pPr>
      <w:r>
        <w:rPr>
          <w:rFonts w:hint="eastAsia" w:ascii="仿宋_GB2312" w:hAnsi="仿宋" w:eastAsia="仿宋_GB2312"/>
          <w:kern w:val="0"/>
          <w:sz w:val="32"/>
          <w:szCs w:val="32"/>
          <w:highlight w:val="none"/>
        </w:rPr>
        <w:t>区投资促进服务中心发布申报通知，明确申报条件、时间、程序、申报资料、经办部门、经办人员和联系方式等内容。</w:t>
      </w:r>
    </w:p>
    <w:p>
      <w:pPr>
        <w:numPr>
          <w:ilvl w:val="0"/>
          <w:numId w:val="1"/>
        </w:numPr>
        <w:adjustRightInd w:val="0"/>
        <w:snapToGrid w:val="0"/>
        <w:spacing w:line="600" w:lineRule="exact"/>
        <w:ind w:left="0" w:firstLine="641"/>
        <w:rPr>
          <w:rFonts w:ascii="仿宋_GB2312" w:hAnsi="仿宋" w:eastAsia="仿宋_GB2312"/>
          <w:kern w:val="0"/>
          <w:sz w:val="32"/>
          <w:szCs w:val="32"/>
          <w:highlight w:val="none"/>
        </w:rPr>
      </w:pPr>
      <w:r>
        <w:rPr>
          <w:rFonts w:hint="eastAsia" w:ascii="仿宋_GB2312" w:hAnsi="仿宋" w:eastAsia="仿宋_GB2312"/>
          <w:kern w:val="0"/>
          <w:sz w:val="32"/>
          <w:szCs w:val="32"/>
          <w:highlight w:val="none"/>
        </w:rPr>
        <w:t>申报主体按照申报通知的要求，向区投资促进服务中心提交材料进行申报。</w:t>
      </w:r>
    </w:p>
    <w:p>
      <w:pPr>
        <w:numPr>
          <w:ilvl w:val="0"/>
          <w:numId w:val="1"/>
        </w:numPr>
        <w:adjustRightInd w:val="0"/>
        <w:snapToGrid w:val="0"/>
        <w:spacing w:line="600" w:lineRule="exact"/>
        <w:ind w:left="0" w:firstLine="641"/>
        <w:rPr>
          <w:rFonts w:ascii="仿宋_GB2312" w:hAnsi="仿宋" w:eastAsia="仿宋_GB2312"/>
          <w:kern w:val="0"/>
          <w:sz w:val="32"/>
          <w:szCs w:val="32"/>
          <w:highlight w:val="none"/>
        </w:rPr>
      </w:pPr>
      <w:r>
        <w:rPr>
          <w:rFonts w:hint="eastAsia" w:ascii="仿宋_GB2312" w:hAnsi="Times New Roman" w:eastAsia="仿宋_GB2312"/>
          <w:kern w:val="0"/>
          <w:sz w:val="32"/>
          <w:szCs w:val="32"/>
          <w:highlight w:val="none"/>
        </w:rPr>
        <w:t>申报主体对申请材料的合法性、真实性和有效性负全部责任。申报主体通过伪造、编造申请资料，或违反相关法律法规获取服务的，一经查实即取消资格。</w:t>
      </w:r>
    </w:p>
    <w:p>
      <w:pPr>
        <w:numPr>
          <w:ilvl w:val="0"/>
          <w:numId w:val="1"/>
        </w:numPr>
        <w:adjustRightInd w:val="0"/>
        <w:snapToGrid w:val="0"/>
        <w:spacing w:line="600" w:lineRule="exact"/>
        <w:ind w:left="0" w:firstLine="641"/>
        <w:rPr>
          <w:rFonts w:ascii="仿宋_GB2312" w:hAnsi="仿宋" w:eastAsia="仿宋_GB2312"/>
          <w:kern w:val="0"/>
          <w:sz w:val="32"/>
          <w:szCs w:val="32"/>
          <w:highlight w:val="none"/>
        </w:rPr>
      </w:pPr>
      <w:r>
        <w:rPr>
          <w:rFonts w:hint="eastAsia" w:ascii="仿宋_GB2312" w:hAnsi="仿宋" w:eastAsia="仿宋_GB2312"/>
          <w:kern w:val="0"/>
          <w:sz w:val="32"/>
          <w:szCs w:val="32"/>
          <w:highlight w:val="none"/>
        </w:rPr>
        <w:t>重点企业要加强对获得服务的人员管理，对违法违纪、产生不良社会影响的，要及时与区产促办联系取消其资格；对于人员管理方面存在重大过错，或在服务申报过程中存在违法违纪行为、引发不良社会影响的，取消重点企业各项激励政策的申报资格。</w:t>
      </w:r>
    </w:p>
    <w:p>
      <w:pPr>
        <w:pStyle w:val="2"/>
        <w:spacing w:beforeLines="0" w:afterLines="0"/>
        <w:rPr>
          <w:rFonts w:ascii="黑体" w:hAnsi="黑体" w:eastAsia="黑体"/>
          <w:highlight w:val="none"/>
        </w:rPr>
      </w:pPr>
      <w:r>
        <w:rPr>
          <w:rFonts w:ascii="黑体" w:hAnsi="黑体" w:eastAsia="黑体"/>
          <w:highlight w:val="none"/>
        </w:rPr>
        <w:t>第</w:t>
      </w:r>
      <w:r>
        <w:rPr>
          <w:rFonts w:hint="eastAsia" w:ascii="黑体" w:hAnsi="黑体" w:eastAsia="黑体"/>
          <w:highlight w:val="none"/>
        </w:rPr>
        <w:t>四</w:t>
      </w:r>
      <w:r>
        <w:rPr>
          <w:rFonts w:ascii="黑体" w:hAnsi="黑体" w:eastAsia="黑体"/>
          <w:highlight w:val="none"/>
        </w:rPr>
        <w:t>章　附则</w:t>
      </w:r>
    </w:p>
    <w:p>
      <w:pPr>
        <w:numPr>
          <w:ilvl w:val="0"/>
          <w:numId w:val="1"/>
        </w:numPr>
        <w:adjustRightInd w:val="0"/>
        <w:snapToGrid w:val="0"/>
        <w:spacing w:line="600" w:lineRule="exact"/>
        <w:ind w:left="0" w:firstLine="641"/>
        <w:rPr>
          <w:rFonts w:ascii="仿宋_GB2312" w:hAnsi="仿宋" w:eastAsia="仿宋_GB2312"/>
          <w:kern w:val="0"/>
          <w:sz w:val="32"/>
          <w:szCs w:val="32"/>
          <w:highlight w:val="none"/>
        </w:rPr>
      </w:pPr>
      <w:r>
        <w:rPr>
          <w:rFonts w:ascii="仿宋_GB2312" w:hAnsi="仿宋" w:eastAsia="仿宋_GB2312"/>
          <w:kern w:val="0"/>
          <w:sz w:val="32"/>
          <w:szCs w:val="32"/>
          <w:highlight w:val="none"/>
        </w:rPr>
        <w:t>本办法由区</w:t>
      </w:r>
      <w:r>
        <w:rPr>
          <w:rFonts w:hint="eastAsia" w:ascii="仿宋_GB2312" w:hAnsi="仿宋" w:eastAsia="仿宋_GB2312"/>
          <w:kern w:val="0"/>
          <w:sz w:val="32"/>
          <w:szCs w:val="32"/>
          <w:highlight w:val="none"/>
        </w:rPr>
        <w:t>产促办</w:t>
      </w:r>
      <w:r>
        <w:rPr>
          <w:rFonts w:ascii="仿宋_GB2312" w:hAnsi="仿宋" w:eastAsia="仿宋_GB2312"/>
          <w:kern w:val="0"/>
          <w:sz w:val="32"/>
          <w:szCs w:val="32"/>
          <w:highlight w:val="none"/>
        </w:rPr>
        <w:t>会同</w:t>
      </w:r>
      <w:r>
        <w:rPr>
          <w:rFonts w:hint="eastAsia" w:ascii="仿宋_GB2312" w:hAnsi="仿宋" w:eastAsia="仿宋_GB2312"/>
          <w:kern w:val="0"/>
          <w:sz w:val="32"/>
          <w:szCs w:val="32"/>
          <w:highlight w:val="none"/>
        </w:rPr>
        <w:t>相关</w:t>
      </w:r>
      <w:r>
        <w:rPr>
          <w:rFonts w:ascii="仿宋_GB2312" w:hAnsi="仿宋" w:eastAsia="仿宋_GB2312"/>
          <w:kern w:val="0"/>
          <w:sz w:val="32"/>
          <w:szCs w:val="32"/>
          <w:highlight w:val="none"/>
        </w:rPr>
        <w:t>部门负责解释。</w:t>
      </w:r>
    </w:p>
    <w:p>
      <w:pPr>
        <w:numPr>
          <w:ilvl w:val="0"/>
          <w:numId w:val="1"/>
        </w:numPr>
        <w:adjustRightInd w:val="0"/>
        <w:snapToGrid w:val="0"/>
        <w:spacing w:line="600" w:lineRule="exact"/>
        <w:ind w:left="0" w:firstLine="640" w:firstLineChars="200"/>
        <w:rPr>
          <w:sz w:val="24"/>
          <w:szCs w:val="24"/>
          <w:highlight w:val="none"/>
        </w:rPr>
      </w:pPr>
      <w:r>
        <w:rPr>
          <w:rFonts w:hint="eastAsia" w:ascii="仿宋_GB2312" w:hAnsi="Times New Roman" w:eastAsia="仿宋_GB2312"/>
          <w:kern w:val="0"/>
          <w:sz w:val="32"/>
          <w:szCs w:val="32"/>
          <w:highlight w:val="none"/>
        </w:rPr>
        <w:t>本办法自发布之日起，实施至2025年12月31日。执行过程中遇到国家及北京市重大政策变动，上述政策将相应调整。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amp;quot">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5256919"/>
      <w:docPartObj>
        <w:docPartGallery w:val="autotext"/>
      </w:docPartObj>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15C3F"/>
    <w:multiLevelType w:val="multilevel"/>
    <w:tmpl w:val="0F515C3F"/>
    <w:lvl w:ilvl="0" w:tentative="0">
      <w:start w:val="1"/>
      <w:numFmt w:val="chineseCountingThousand"/>
      <w:lvlText w:val="第%1条"/>
      <w:lvlJc w:val="left"/>
      <w:pPr>
        <w:ind w:left="987" w:hanging="420"/>
      </w:pPr>
      <w:rPr>
        <w:rFonts w:hint="eastAsia" w:ascii="仿宋_GB2312" w:hAnsi="楷体" w:eastAsia="仿宋_GB2312"/>
        <w:b/>
        <w:sz w:val="32"/>
        <w:szCs w:val="32"/>
        <w:lang w:val="en-US"/>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D1D"/>
    <w:rsid w:val="00012878"/>
    <w:rsid w:val="00043842"/>
    <w:rsid w:val="00066F39"/>
    <w:rsid w:val="00145F67"/>
    <w:rsid w:val="001915B8"/>
    <w:rsid w:val="001938C3"/>
    <w:rsid w:val="001B452D"/>
    <w:rsid w:val="001C3528"/>
    <w:rsid w:val="001D4D05"/>
    <w:rsid w:val="00203A3D"/>
    <w:rsid w:val="00214B48"/>
    <w:rsid w:val="0027342E"/>
    <w:rsid w:val="002A3DA4"/>
    <w:rsid w:val="003300F4"/>
    <w:rsid w:val="0036503A"/>
    <w:rsid w:val="003669A1"/>
    <w:rsid w:val="00376E7C"/>
    <w:rsid w:val="003B667B"/>
    <w:rsid w:val="00470D1D"/>
    <w:rsid w:val="004878BA"/>
    <w:rsid w:val="0049756F"/>
    <w:rsid w:val="004A382A"/>
    <w:rsid w:val="00503F7B"/>
    <w:rsid w:val="00505974"/>
    <w:rsid w:val="005255A1"/>
    <w:rsid w:val="00554963"/>
    <w:rsid w:val="005B26ED"/>
    <w:rsid w:val="005E0AE4"/>
    <w:rsid w:val="005F6E97"/>
    <w:rsid w:val="00612D6C"/>
    <w:rsid w:val="00613089"/>
    <w:rsid w:val="006323A0"/>
    <w:rsid w:val="00676595"/>
    <w:rsid w:val="006A72BD"/>
    <w:rsid w:val="007575EE"/>
    <w:rsid w:val="00764E81"/>
    <w:rsid w:val="007A6487"/>
    <w:rsid w:val="00856387"/>
    <w:rsid w:val="00906E2E"/>
    <w:rsid w:val="0092034D"/>
    <w:rsid w:val="009315F3"/>
    <w:rsid w:val="009700F9"/>
    <w:rsid w:val="00980101"/>
    <w:rsid w:val="00993C5F"/>
    <w:rsid w:val="00A25AE0"/>
    <w:rsid w:val="00A509C5"/>
    <w:rsid w:val="00A62990"/>
    <w:rsid w:val="00AE3489"/>
    <w:rsid w:val="00B122F0"/>
    <w:rsid w:val="00B2090D"/>
    <w:rsid w:val="00B3528A"/>
    <w:rsid w:val="00B44F2C"/>
    <w:rsid w:val="00B61A4A"/>
    <w:rsid w:val="00B95A0A"/>
    <w:rsid w:val="00BF3E4E"/>
    <w:rsid w:val="00BF51DC"/>
    <w:rsid w:val="00C515E4"/>
    <w:rsid w:val="00C61CC9"/>
    <w:rsid w:val="00CD178C"/>
    <w:rsid w:val="00CF748B"/>
    <w:rsid w:val="00D12652"/>
    <w:rsid w:val="00D457E4"/>
    <w:rsid w:val="00D93989"/>
    <w:rsid w:val="00DA6D06"/>
    <w:rsid w:val="00DC69F0"/>
    <w:rsid w:val="00DE4137"/>
    <w:rsid w:val="00DF61CF"/>
    <w:rsid w:val="00EB59E6"/>
    <w:rsid w:val="00ED27D9"/>
    <w:rsid w:val="00ED6F16"/>
    <w:rsid w:val="00EF6368"/>
    <w:rsid w:val="00F224F8"/>
    <w:rsid w:val="00FB5F03"/>
    <w:rsid w:val="00FE6222"/>
    <w:rsid w:val="00FF0974"/>
    <w:rsid w:val="25E35E71"/>
    <w:rsid w:val="567A3F13"/>
    <w:rsid w:val="76566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6"/>
    <w:qFormat/>
    <w:uiPriority w:val="9"/>
    <w:pPr>
      <w:widowControl/>
      <w:adjustRightInd w:val="0"/>
      <w:snapToGrid w:val="0"/>
      <w:spacing w:beforeLines="50" w:afterLines="50" w:line="600" w:lineRule="exact"/>
      <w:ind w:firstLine="0" w:firstLineChars="0"/>
      <w:jc w:val="center"/>
      <w:outlineLvl w:val="0"/>
    </w:pPr>
    <w:rPr>
      <w:rFonts w:ascii="方正小标宋简体" w:hAnsi="&amp;quot" w:eastAsia="方正小标宋简体" w:cs="宋体"/>
      <w:bCs/>
      <w:kern w:val="0"/>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4"/>
    <w:pPr>
      <w:ind w:firstLine="420" w:firstLineChars="200"/>
    </w:pPr>
  </w:style>
  <w:style w:type="paragraph" w:styleId="4">
    <w:name w:val="annotation text"/>
    <w:basedOn w:val="1"/>
    <w:link w:val="14"/>
    <w:semiHidden/>
    <w:unhideWhenUsed/>
    <w:qFormat/>
    <w:uiPriority w:val="99"/>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批注文字 字符"/>
    <w:basedOn w:val="10"/>
    <w:link w:val="4"/>
    <w:semiHidden/>
    <w:qFormat/>
    <w:uiPriority w:val="99"/>
  </w:style>
  <w:style w:type="character" w:customStyle="1" w:styleId="15">
    <w:name w:val="批注框文本 字符"/>
    <w:basedOn w:val="10"/>
    <w:link w:val="5"/>
    <w:semiHidden/>
    <w:qFormat/>
    <w:uiPriority w:val="99"/>
    <w:rPr>
      <w:sz w:val="18"/>
      <w:szCs w:val="18"/>
    </w:rPr>
  </w:style>
  <w:style w:type="character" w:customStyle="1" w:styleId="16">
    <w:name w:val="标题 1 字符"/>
    <w:basedOn w:val="10"/>
    <w:link w:val="2"/>
    <w:qFormat/>
    <w:uiPriority w:val="9"/>
    <w:rPr>
      <w:rFonts w:ascii="方正小标宋简体" w:hAnsi="&amp;quot" w:eastAsia="方正小标宋简体" w:cs="宋体"/>
      <w:bCs/>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189</Words>
  <Characters>1079</Characters>
  <Lines>8</Lines>
  <Paragraphs>2</Paragraphs>
  <TotalTime>8</TotalTime>
  <ScaleCrop>false</ScaleCrop>
  <LinksUpToDate>false</LinksUpToDate>
  <CharactersWithSpaces>1266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2020-03-22T10:07:00Z</dcterms:created>
  <dc:creator>echojun</dc:creator>
  <cp:lastModifiedBy>余祥</cp:lastModifiedBy>
  <dcterms:modified xsi:type="dcterms:W3CDTF">2021-03-30T11:23:14Z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06512D9E497E49C9AAAF559DC964A2A5</vt:lpwstr>
  </property>
</Properties>
</file>