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pPr>
        <w:spacing w:before="0" w:after="0" w:line="540" w:lineRule="exact"/>
        <w:ind/>
        <w:jc w:val="center"/>
        <w:rPr>
          <w:rFonts w:ascii="方正小标宋简体" w:hAnsi="方正小标宋简体" w:eastAsia="方正小标宋简体"/>
          <w:color w:val="000000"/>
          <w:sz w:val="44"/>
          <w:szCs w:val="44"/>
        </w:rPr>
      </w:pPr>
      <w:r>
        <w:rPr>
          <w:rFonts w:ascii="方正小标宋简体" w:hAnsi="方正小标宋简体" w:eastAsia="方正小标宋简体"/>
          <w:color w:val="000000"/>
          <w:sz w:val="44"/>
          <w:szCs w:val="44"/>
        </w:rPr>
        <w:t>中国（北京）自由贸易试验区</w:t>
      </w:r>
    </w:p>
    <w:p>
      <w:pPr>
        <w:spacing w:before="0" w:after="0" w:line="540" w:lineRule="exact"/>
        <w:ind/>
        <w:jc w:val="center"/>
        <w:rPr>
          <w:rFonts w:ascii="方正小标宋简体" w:hAnsi="方正小标宋简体" w:eastAsia="方正小标宋简体"/>
          <w:color w:val="000000"/>
          <w:sz w:val="44"/>
          <w:szCs w:val="44"/>
        </w:rPr>
      </w:pPr>
      <w:r>
        <w:rPr>
          <w:rFonts w:ascii="方正小标宋简体" w:hAnsi="方正小标宋简体" w:eastAsia="方正小标宋简体"/>
          <w:color w:val="000000"/>
          <w:sz w:val="44"/>
          <w:szCs w:val="44"/>
        </w:rPr>
        <w:t>国际商务服务片区通州组团实施方案</w:t>
      </w:r>
    </w:p>
    <w:p>
      <w:pPr>
        <w:spacing w:before="0" w:after="0" w:line="540" w:lineRule="exact"/>
        <w:ind w:firstLineChars="200"/>
        <w:jc w:val="both"/>
        <w:rPr>
          <w:rFonts w:ascii="仿宋" w:hAnsi="仿宋" w:eastAsia="仿宋"/>
          <w:color w:val="000000"/>
          <w:sz w:val="32"/>
          <w:szCs w:val="32"/>
        </w:rPr>
      </w:pPr>
      <w:r>
        <w:rPr>
          <w:rFonts w:ascii="仿宋" w:hAnsi="仿宋" w:eastAsia="仿宋"/>
          <w:color w:val="000000"/>
          <w:sz w:val="32"/>
          <w:szCs w:val="32"/>
        </w:rPr>
      </w:r>
    </w:p>
    <w:p>
      <w:pPr>
        <w:spacing w:before="0" w:after="0" w:line="540" w:lineRule="exact"/>
        <w:ind w:firstLineChars="200"/>
        <w:jc w:val="both"/>
        <w:rPr>
          <w:rFonts w:ascii="仿宋" w:hAnsi="仿宋" w:eastAsia="仿宋"/>
          <w:color w:val="000000"/>
          <w:kern w:val="0"/>
          <w:sz w:val="32"/>
          <w:szCs w:val="32"/>
        </w:rPr>
      </w:pPr>
      <w:r>
        <w:rPr>
          <w:rFonts w:ascii="仿宋" w:hAnsi="仿宋" w:eastAsia="仿宋"/>
          <w:color w:val="000000"/>
          <w:kern w:val="0"/>
          <w:sz w:val="32"/>
          <w:szCs w:val="32"/>
        </w:rPr>
        <w:t>为贯彻落实《中国（北京）自由贸易试验区总体方案》，高标准、高质量推进中国（北京）自由贸易试验区国际商务服务片区通州组团建设，特制订本方案。</w:t>
      </w:r>
    </w:p>
    <w:p>
      <w:pPr>
        <w:pStyle w:val="heading2"/>
        <w:spacing w:before="0" w:after="0" w:line="540" w:lineRule="exact"/>
        <w:ind w:left="645" w:hanging="645" w:firstLine="0"/>
        <w:jc w:val="both"/>
        <w:rPr>
          <w:rFonts w:ascii="黑体" w:hAnsi="黑体" w:eastAsia="黑体"/>
          <w:sz w:val="32"/>
          <w:szCs w:val="32"/>
        </w:rPr>
      </w:pPr>
      <w:r>
        <w:rPr>
          <w:rFonts w:ascii="黑体" w:hAnsi="黑体" w:eastAsia="黑体"/>
          <w:sz w:val="32"/>
          <w:szCs w:val="32"/>
        </w:rPr>
        <w:t xml:space="preserve">     一、</w:t>
      </w:r>
      <w:r>
        <w:rPr>
          <w:rFonts w:ascii="黑体" w:hAnsi="黑体" w:eastAsia="黑体"/>
          <w:sz w:val="32"/>
          <w:szCs w:val="32"/>
        </w:rPr>
        <w:t>总体要求</w:t>
      </w:r>
    </w:p>
    <w:p>
      <w:pPr>
        <w:spacing w:before="0" w:after="0" w:line="540" w:lineRule="exact"/>
        <w:ind w:firstLine="640"/>
        <w:jc w:val="both"/>
        <w:rPr>
          <w:rFonts w:ascii="楷体_GB2312" w:hAnsi="楷体_GB2312" w:eastAsia="楷体_GB2312"/>
          <w:color w:val="000000"/>
          <w:kern w:val="44"/>
          <w:sz w:val="32"/>
          <w:szCs w:val="32"/>
        </w:rPr>
      </w:pPr>
      <w:r>
        <w:rPr>
          <w:rFonts w:ascii="楷体_GB2312" w:hAnsi="楷体_GB2312" w:eastAsia="楷体_GB2312"/>
          <w:color w:val="000000"/>
          <w:kern w:val="44"/>
          <w:sz w:val="32"/>
          <w:szCs w:val="32"/>
        </w:rPr>
        <w:t>（一）指导思想</w:t>
      </w:r>
    </w:p>
    <w:p>
      <w:pPr>
        <w:spacing w:before="0" w:after="0" w:line="540" w:lineRule="exact"/>
        <w:ind w:firstLineChars="200"/>
        <w:jc w:val="both"/>
        <w:rPr>
          <w:rFonts w:ascii="仿宋" w:hAnsi="仿宋" w:eastAsia="仿宋"/>
          <w:color w:val="000000"/>
          <w:kern w:val="0"/>
          <w:sz w:val="32"/>
          <w:szCs w:val="32"/>
        </w:rPr>
      </w:pPr>
      <w:r>
        <w:rPr>
          <w:rFonts w:ascii="仿宋" w:hAnsi="仿宋" w:eastAsia="仿宋"/>
          <w:color w:val="000000"/>
          <w:kern w:val="0"/>
          <w:sz w:val="32"/>
          <w:szCs w:val="32"/>
        </w:rPr>
        <w:t>以习近平新时代中国特色社会主义思想为指导，全面贯彻党的十九大和十九届二中、三中、四中、五中全会精神，统筹推进“五位一体”总体布局和协调推进“四个全面”战略布局，坚持稳中求进工作总基调，坚持新发展理念，坚持高质量发展，以供给侧结构性改革为主线，主动服务和融入国家重大战略，畅通国内大循环，促进国内国际双循环，建设更高水平开放型经济新体制。中国（北京）自由贸易试验区国际商务服务片区通州组团（以下简称通州组团）建设将立足北京城市副中心战略定位，贯彻落实《中国（北京）自由贸易试验区总体方案》精神，以制度创新为核心，以可复制可推广为基本要求，以开放促改革、促发展、促创新，将通州组团建设成为改革开放新高地。</w:t>
      </w:r>
    </w:p>
    <w:p>
      <w:pPr>
        <w:spacing w:before="0" w:after="0" w:line="540" w:lineRule="exact"/>
        <w:ind w:leftChars="0" w:firstLine="640"/>
        <w:jc w:val="both"/>
        <w:rPr>
          <w:rFonts w:ascii="等线" w:hAnsi="等线" w:eastAsia="等线"/>
          <w:color w:val="000000"/>
          <w:kern w:val="44"/>
          <w:sz w:val="32"/>
          <w:szCs w:val="32"/>
        </w:rPr>
      </w:pPr>
      <w:r>
        <w:rPr>
          <w:rFonts w:ascii="楷体_GB2312" w:hAnsi="楷体_GB2312" w:eastAsia="楷体_GB2312"/>
          <w:color w:val="000000"/>
          <w:sz w:val="32"/>
          <w:szCs w:val="32"/>
        </w:rPr>
        <w:t xml:space="preserve">     （二）</w:t>
      </w:r>
      <w:r>
        <w:rPr>
          <w:rFonts w:ascii="楷体_GB2312" w:hAnsi="楷体_GB2312" w:eastAsia="楷体_GB2312"/>
          <w:color w:val="000000"/>
          <w:kern w:val="44"/>
          <w:sz w:val="32"/>
          <w:szCs w:val="32"/>
        </w:rPr>
        <w:t>战略定位</w:t>
      </w:r>
    </w:p>
    <w:p>
      <w:pPr>
        <w:spacing w:before="0" w:after="0" w:line="540" w:lineRule="exact"/>
        <w:ind w:firstLine="640"/>
        <w:jc w:val="both"/>
        <w:rPr>
          <w:rFonts w:ascii="仿宋" w:hAnsi="仿宋" w:eastAsia="仿宋"/>
          <w:color w:val="000000"/>
          <w:kern w:val="0"/>
          <w:sz w:val="32"/>
          <w:szCs w:val="32"/>
        </w:rPr>
      </w:pPr>
      <w:r>
        <w:rPr>
          <w:rFonts w:ascii="仿宋" w:hAnsi="仿宋" w:eastAsia="仿宋"/>
          <w:color w:val="000000"/>
          <w:kern w:val="0"/>
          <w:sz w:val="32"/>
          <w:szCs w:val="32"/>
        </w:rPr>
        <w:t>以制度创新为核心，</w:t>
      </w:r>
      <w:r>
        <w:rPr>
          <w:rFonts w:ascii="仿宋" w:hAnsi="仿宋" w:eastAsia="仿宋"/>
          <w:color w:val="000000"/>
          <w:sz w:val="32"/>
          <w:szCs w:val="32"/>
        </w:rPr>
        <w:t>全面落实中央关于深入实施创新驱动发展、推动京津冀协同发展战略等要求，</w:t>
      </w:r>
      <w:r>
        <w:rPr>
          <w:rFonts w:ascii="仿宋" w:hAnsi="仿宋" w:eastAsia="仿宋"/>
          <w:color w:val="000000"/>
          <w:kern w:val="0"/>
          <w:sz w:val="32"/>
          <w:szCs w:val="32"/>
        </w:rPr>
        <w:t>紧密围绕北京城市副中心功能定位，积极建设更高水平的开放型经济体制，探索更大范围、更宽领域、更深层次的全面开放，努力把北京城市副中心打造成为全球财富管理中心、绿色金融示范先行区、首都对外开放新样板、具有全球影响力的经济开放新高地，为推动首都形成更高水平的开放发展格局作出通州贡献,推动副中心加快建设成为国际一流的和谐宜居之都示范区、新型城镇化示范区和京津冀区域协同发展示范区。</w:t>
      </w:r>
    </w:p>
    <w:p>
      <w:pPr>
        <w:pStyle w:val="heading2"/>
        <w:spacing w:before="0" w:after="0" w:line="540" w:lineRule="exact"/>
        <w:ind w:left="635"/>
        <w:jc w:val="both"/>
        <w:rPr>
          <w:rFonts w:ascii="黑体" w:hAnsi="黑体" w:eastAsia="黑体"/>
          <w:sz w:val="32"/>
          <w:szCs w:val="32"/>
        </w:rPr>
      </w:pPr>
      <w:r>
        <w:rPr>
          <w:rFonts w:ascii="黑体" w:hAnsi="黑体" w:eastAsia="黑体"/>
          <w:sz w:val="32"/>
          <w:szCs w:val="32"/>
        </w:rPr>
        <w:t>二、区域范围及功能划分</w:t>
      </w:r>
    </w:p>
    <w:p>
      <w:pPr>
        <w:spacing w:before="0" w:after="0" w:line="540" w:lineRule="exact"/>
        <w:ind w:firstLineChars="200"/>
        <w:jc w:val="both"/>
        <w:rPr>
          <w:rFonts w:ascii="仿宋" w:hAnsi="仿宋" w:eastAsia="仿宋"/>
          <w:color w:val="000000"/>
          <w:sz w:val="32"/>
          <w:szCs w:val="32"/>
        </w:rPr>
      </w:pPr>
      <w:r>
        <w:rPr>
          <w:rFonts w:ascii="仿宋" w:hAnsi="仿宋" w:eastAsia="仿宋"/>
          <w:color w:val="000000"/>
          <w:kern w:val="0"/>
          <w:sz w:val="32"/>
          <w:szCs w:val="32"/>
        </w:rPr>
        <w:t>中国（北京）自由贸易试验区国际商务服务片区通州组团包括城市副中心运河商务区和张家湾设计小镇周边可利用的产业空间10.87平方公里。通州组团围绕北京城市副中心产业布局，</w:t>
      </w:r>
      <w:r>
        <w:rPr>
          <w:rFonts w:ascii="仿宋" w:hAnsi="仿宋" w:eastAsia="仿宋"/>
          <w:color w:val="000000"/>
          <w:kern w:val="0"/>
          <w:sz w:val="32"/>
          <w:szCs w:val="32"/>
        </w:rPr>
        <w:t>重点聚焦财富管理、绿色金融、金融科技、城市科技、文化设计、专业服务等领域</w:t>
      </w:r>
      <w:r>
        <w:rPr>
          <w:rFonts w:ascii="仿宋" w:hAnsi="仿宋" w:eastAsia="仿宋"/>
          <w:color w:val="000000"/>
          <w:kern w:val="0"/>
          <w:sz w:val="32"/>
          <w:szCs w:val="32"/>
        </w:rPr>
        <w:t>，探索改革创新，</w:t>
      </w:r>
      <w:r>
        <w:rPr>
          <w:rFonts w:ascii="仿宋" w:hAnsi="仿宋" w:eastAsia="仿宋"/>
          <w:color w:val="000000"/>
          <w:sz w:val="32"/>
          <w:szCs w:val="32"/>
        </w:rPr>
        <w:t>强化服务功能和保障体系，深化京津冀协同示范。</w:t>
      </w:r>
    </w:p>
    <w:p>
      <w:pPr>
        <w:pStyle w:val="heading2"/>
        <w:spacing w:before="0" w:after="0" w:line="540" w:lineRule="exact"/>
        <w:ind w:firstLineChars="200"/>
        <w:jc w:val="both"/>
        <w:rPr>
          <w:rFonts w:ascii="黑体" w:hAnsi="黑体" w:eastAsia="黑体"/>
          <w:sz w:val="32"/>
          <w:szCs w:val="32"/>
        </w:rPr>
      </w:pPr>
      <w:r>
        <w:rPr>
          <w:rFonts w:ascii="黑体" w:hAnsi="黑体" w:eastAsia="黑体"/>
          <w:sz w:val="32"/>
          <w:szCs w:val="32"/>
        </w:rPr>
        <w:t>三、总体思路</w:t>
      </w:r>
    </w:p>
    <w:p>
      <w:pPr>
        <w:spacing w:before="0" w:after="0" w:line="540" w:lineRule="exact"/>
        <w:ind w:firstLineChars="200"/>
        <w:jc w:val="both"/>
        <w:rPr>
          <w:rFonts w:ascii="仿宋" w:hAnsi="仿宋" w:eastAsia="仿宋"/>
          <w:color w:val="000000"/>
          <w:sz w:val="32"/>
          <w:szCs w:val="32"/>
        </w:rPr>
      </w:pPr>
      <w:r>
        <w:rPr>
          <w:rFonts w:ascii="仿宋" w:hAnsi="仿宋" w:eastAsia="仿宋"/>
          <w:color w:val="000000"/>
          <w:sz w:val="32"/>
          <w:szCs w:val="32"/>
        </w:rPr>
        <w:t>通州组团将围绕以建设更低成本的企业经营环境，营造更加国际化、更具包容度的发展环境为主线，探索制度创新，推行试点示范，形成一批先进经验。以建设全球财富管理中心、探索绿色发展先进模式、推动金融领域创新实践、建设国际一流设计小镇、推动设计小镇创新实践、打造高端服务业集群、构建创新型综合保障体系、建立京津冀协同示范八大举措为抓手，推动国内外高端资源、创新要素、市场主体在通州组团集聚，在规则体系、治理体系、市场融通、产业协同、区域共建、服务监管、京津冀一体化等方面贡献创新方案。聚焦两大区域建设发展，将“国际金融港”和“国际设计小镇”打造成最具包容度、最具开放活力、全球知名的城市品牌。</w:t>
      </w:r>
    </w:p>
    <w:p>
      <w:pPr>
        <w:pStyle w:val="heading2"/>
        <w:spacing w:before="0" w:after="0" w:line="540" w:lineRule="exact"/>
        <w:ind w:firstLineChars="200"/>
        <w:jc w:val="both"/>
        <w:rPr>
          <w:rFonts w:ascii="黑体" w:hAnsi="黑体" w:eastAsia="黑体"/>
          <w:sz w:val="32"/>
          <w:szCs w:val="32"/>
        </w:rPr>
      </w:pPr>
      <w:r>
        <w:rPr>
          <w:rFonts w:ascii="黑体" w:hAnsi="黑体" w:eastAsia="黑体"/>
          <w:sz w:val="32"/>
          <w:szCs w:val="32"/>
        </w:rPr>
        <w:t>四、发展目标</w:t>
      </w:r>
    </w:p>
    <w:p>
      <w:pPr>
        <w:spacing w:before="0" w:after="0" w:line="560" w:lineRule="exact"/>
        <w:ind w:firstLineChars="200"/>
        <w:jc w:val="both"/>
        <w:rPr>
          <w:rFonts w:ascii="仿宋" w:hAnsi="仿宋" w:eastAsia="仿宋"/>
          <w:color w:val="000000"/>
          <w:sz w:val="32"/>
          <w:szCs w:val="32"/>
        </w:rPr>
      </w:pPr>
      <w:r>
        <w:rPr>
          <w:rFonts w:ascii="仿宋" w:hAnsi="仿宋" w:eastAsia="仿宋"/>
          <w:color w:val="000000"/>
          <w:sz w:val="32"/>
          <w:szCs w:val="32"/>
        </w:rPr>
        <w:t>通州组团着力打造自由便利的经济要素流通环境和高效率、低成本的经济主体经营发展环境，经过三年左右的探索实践，到2023年末，基本形成高端金融要素集聚、科技创新生态活跃、专业服务配套完善、设计产业资源丰富、应用场景开放多元、创新创业氛围浓厚、宜居宜业生活环境初步形成的总体局面。</w:t>
      </w:r>
    </w:p>
    <w:p>
      <w:pPr>
        <w:pStyle w:val="heading2"/>
        <w:spacing w:before="0" w:after="0" w:line="540" w:lineRule="exact"/>
        <w:ind w:firstLineChars="200"/>
        <w:jc w:val="both"/>
        <w:rPr>
          <w:rFonts w:ascii="黑体" w:hAnsi="黑体" w:eastAsia="黑体"/>
          <w:sz w:val="32"/>
          <w:szCs w:val="32"/>
        </w:rPr>
      </w:pPr>
      <w:r>
        <w:rPr>
          <w:rFonts w:ascii="黑体" w:hAnsi="黑体" w:eastAsia="黑体"/>
          <w:sz w:val="32"/>
          <w:szCs w:val="32"/>
        </w:rPr>
        <w:t>五、重点任务和举措</w:t>
      </w:r>
    </w:p>
    <w:p>
      <w:pPr>
        <w:pStyle w:val="heading1"/>
        <w:spacing w:before="0" w:after="0" w:line="540" w:lineRule="exact"/>
        <w:ind w:firstLineChars="200"/>
        <w:jc w:val="both"/>
        <w:rPr>
          <w:rFonts w:ascii="楷体_GB2312" w:hAnsi="楷体_GB2312" w:eastAsia="楷体_GB2312"/>
          <w:sz w:val="32"/>
          <w:szCs w:val="32"/>
        </w:rPr>
      </w:pPr>
      <w:r>
        <w:rPr>
          <w:rFonts w:ascii="楷体_GB2312" w:hAnsi="楷体_GB2312" w:eastAsia="楷体_GB2312"/>
          <w:sz w:val="32"/>
          <w:szCs w:val="32"/>
        </w:rPr>
        <w:t>（一）建设全球财富管理中心</w:t>
      </w:r>
    </w:p>
    <w:p>
      <w:pPr>
        <w:spacing w:before="0" w:after="0" w:line="540" w:lineRule="exact"/>
        <w:ind w:firstLine="562"/>
        <w:jc w:val="both"/>
        <w:rPr>
          <w:rFonts w:ascii="仿宋" w:hAnsi="仿宋" w:eastAsia="仿宋"/>
          <w:color w:val="000000"/>
          <w:sz w:val="32"/>
          <w:szCs w:val="32"/>
        </w:rPr>
      </w:pPr>
      <w:r>
        <w:rPr>
          <w:rFonts w:ascii="仿宋" w:hAnsi="仿宋" w:eastAsia="仿宋"/>
          <w:b w:val="true"/>
          <w:bCs w:val="true"/>
          <w:color w:val="000000"/>
          <w:sz w:val="32"/>
          <w:szCs w:val="32"/>
        </w:rPr>
        <w:t>1.支持开展跨境金融服务。</w:t>
      </w:r>
      <w:r>
        <w:rPr>
          <w:rFonts w:ascii="仿宋" w:hAnsi="仿宋" w:eastAsia="仿宋"/>
          <w:color w:val="000000"/>
          <w:sz w:val="32"/>
          <w:szCs w:val="32"/>
        </w:rPr>
        <w:t>推动符合条件的金融机构和跨国公司在通州组团设立区域总部开展跨境业务。积极争取在通州组团实施资本项目收入支付便利化试点。</w:t>
      </w:r>
    </w:p>
    <w:p>
      <w:pPr>
        <w:spacing w:before="0" w:after="0" w:line="540" w:lineRule="exact"/>
        <w:ind w:firstLineChars="200"/>
        <w:jc w:val="both"/>
        <w:rPr>
          <w:rFonts w:ascii="仿宋" w:hAnsi="仿宋" w:eastAsia="仿宋"/>
          <w:color w:val="000000"/>
          <w:kern w:val="0"/>
          <w:sz w:val="32"/>
          <w:szCs w:val="32"/>
        </w:rPr>
      </w:pPr>
      <w:r>
        <w:rPr>
          <w:rFonts w:ascii="仿宋" w:hAnsi="仿宋" w:eastAsia="仿宋"/>
          <w:b w:val="true"/>
          <w:bCs w:val="true"/>
          <w:color w:val="000000"/>
          <w:sz w:val="32"/>
          <w:szCs w:val="32"/>
        </w:rPr>
        <w:t>2.研究探索跨境投资和理财新机制。</w:t>
      </w:r>
      <w:r>
        <w:rPr>
          <w:rFonts w:ascii="仿宋" w:hAnsi="仿宋" w:eastAsia="仿宋"/>
          <w:color w:val="000000"/>
          <w:kern w:val="0"/>
          <w:sz w:val="32"/>
          <w:szCs w:val="32"/>
        </w:rPr>
        <w:t>积极争取在通州组团开展本外币一体化试点。研究探索依法合规地通过市场化方式设立境内外私募平行基金。积极争取推动通州组团内银行业金融机构在依法合规、风险可控的前提下按相关规定及企业需求为境外机构办理人民币衍生产品等业务。</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3.塑造大财富管理生态圈层</w:t>
      </w:r>
      <w:r>
        <w:rPr>
          <w:rFonts w:ascii="仿宋" w:hAnsi="仿宋" w:eastAsia="仿宋"/>
          <w:color w:val="000000"/>
          <w:sz w:val="32"/>
          <w:szCs w:val="32"/>
        </w:rPr>
        <w:t>。研究出台专项招商引资和招才引智政策。推动金融机构与专业机构协同开展投资者财富管理教育等活动。</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4.打造以公募REITs为特色的资管集聚高地。</w:t>
      </w:r>
      <w:r>
        <w:rPr>
          <w:rFonts w:ascii="仿宋" w:hAnsi="仿宋" w:eastAsia="仿宋"/>
          <w:color w:val="000000"/>
          <w:sz w:val="32"/>
          <w:szCs w:val="32"/>
        </w:rPr>
        <w:t>积极争取将通州组团作为公募REITs的先行先试区域。</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5.打造“国际金融港”品牌</w:t>
      </w:r>
      <w:r>
        <w:rPr>
          <w:rFonts w:ascii="仿宋" w:hAnsi="仿宋" w:eastAsia="仿宋"/>
          <w:color w:val="000000"/>
          <w:sz w:val="32"/>
          <w:szCs w:val="32"/>
        </w:rPr>
        <w:t>。在通州组团打造1至2个具有全球影响力的论坛品牌。在通州组团建设北京自贸试验区展示中心。推进网站建设，加强线上线下相结合的境内外招商宣传推介。</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6.营造良好的金融法治环境</w:t>
      </w:r>
      <w:r>
        <w:rPr>
          <w:rFonts w:ascii="仿宋" w:hAnsi="仿宋" w:eastAsia="仿宋"/>
          <w:color w:val="000000"/>
          <w:sz w:val="32"/>
          <w:szCs w:val="32"/>
        </w:rPr>
        <w:t>。积极完善公证、调解、仲裁、行政裁决、行政复议、诉讼等有机衔接、相互协调的多元化纠纷解决机制。</w:t>
      </w:r>
    </w:p>
    <w:p>
      <w:pPr>
        <w:pStyle w:val="heading1"/>
        <w:spacing w:before="0" w:after="0" w:line="540" w:lineRule="exact"/>
        <w:ind w:firstLineChars="200"/>
        <w:jc w:val="both"/>
        <w:rPr>
          <w:rFonts w:ascii="楷体_GB2312" w:hAnsi="楷体_GB2312" w:eastAsia="楷体_GB2312"/>
          <w:sz w:val="32"/>
          <w:szCs w:val="32"/>
        </w:rPr>
      </w:pPr>
      <w:r>
        <w:rPr>
          <w:rFonts w:ascii="楷体_GB2312" w:hAnsi="楷体_GB2312" w:eastAsia="楷体_GB2312"/>
          <w:sz w:val="32"/>
          <w:szCs w:val="32"/>
        </w:rPr>
        <w:t>（二）研究探索绿色发展先进模式</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7.积极争取设立全国自愿减排等碳交易中心。</w:t>
      </w:r>
      <w:r>
        <w:rPr>
          <w:rFonts w:ascii="仿宋" w:hAnsi="仿宋" w:eastAsia="仿宋"/>
          <w:color w:val="000000"/>
          <w:sz w:val="32"/>
          <w:szCs w:val="32"/>
        </w:rPr>
        <w:t>依托北京绿色交易所，积极争取推动全国核证自愿减排量交易中心设立。</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8.推动绿色金融纵深发展，探索产品跨境投资业务。</w:t>
      </w:r>
      <w:r>
        <w:rPr>
          <w:rFonts w:ascii="仿宋" w:hAnsi="仿宋" w:eastAsia="仿宋"/>
          <w:color w:val="000000"/>
          <w:sz w:val="32"/>
          <w:szCs w:val="32"/>
        </w:rPr>
        <w:t>研究探索依法合规开展绿色信贷资产证券化、绿色债券、绿色股权投融资等业务，创新绿色金融工具，拓宽融资渠道。</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9.倡导绿色消费，发展绿色建筑、绿色交通。</w:t>
      </w:r>
      <w:r>
        <w:rPr>
          <w:rFonts w:ascii="仿宋" w:hAnsi="仿宋" w:eastAsia="仿宋"/>
          <w:color w:val="000000"/>
          <w:sz w:val="32"/>
          <w:szCs w:val="32"/>
        </w:rPr>
        <w:t>推广使用节能家电、新能源汽车等绿色产品。推广超低能耗建筑，装配式建筑应按要求在通州组团项目中应用。加快地铁、城际铁路等基础设施建设，推广使用新能源或清洁能源公交车、新能源汽车。</w:t>
      </w:r>
    </w:p>
    <w:p>
      <w:pPr>
        <w:pStyle w:val="heading1"/>
        <w:spacing w:before="0" w:after="0" w:line="540" w:lineRule="exact"/>
        <w:ind w:firstLineChars="200"/>
        <w:jc w:val="both"/>
        <w:rPr>
          <w:rFonts w:ascii="楷体_GB2312" w:hAnsi="楷体_GB2312" w:eastAsia="楷体_GB2312"/>
          <w:sz w:val="32"/>
          <w:szCs w:val="32"/>
        </w:rPr>
      </w:pPr>
      <w:r>
        <w:rPr>
          <w:rFonts w:ascii="楷体_GB2312" w:hAnsi="楷体_GB2312" w:eastAsia="楷体_GB2312"/>
          <w:sz w:val="32"/>
          <w:szCs w:val="32"/>
        </w:rPr>
        <w:t>（三）推动金融领域创新实践</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10.积极争取设立北京城市副中心金融风险监测预警与监管创新联合实验室，构建京津冀金融风险监测预警平台。</w:t>
      </w:r>
      <w:r>
        <w:rPr>
          <w:rFonts w:ascii="仿宋" w:hAnsi="仿宋" w:eastAsia="仿宋"/>
          <w:color w:val="000000"/>
          <w:sz w:val="32"/>
          <w:szCs w:val="32"/>
        </w:rPr>
        <w:t>积极对接国家金融监管机构，联合国内外权威或市场领先机构研究探索监管创新实验室建设方案，加强京津冀金融合作，探索构建区域金融风险监测和快速反应体系。</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11.建设金融科技创新平台。</w:t>
      </w:r>
      <w:r>
        <w:rPr>
          <w:rFonts w:ascii="仿宋" w:hAnsi="仿宋" w:eastAsia="仿宋"/>
          <w:color w:val="000000"/>
          <w:sz w:val="32"/>
          <w:szCs w:val="32"/>
        </w:rPr>
        <w:t>积极吸引符合功能定位的金融科技企业入驻通州组团，拓展金融科技应用场景，稳步推进金融科技创新。</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12.鼓励各金融机构创新发展，支持符合条件的金融机构设立专营机构。</w:t>
      </w:r>
      <w:r>
        <w:rPr>
          <w:rFonts w:ascii="仿宋" w:hAnsi="仿宋" w:eastAsia="仿宋"/>
          <w:color w:val="000000"/>
          <w:sz w:val="32"/>
          <w:szCs w:val="32"/>
        </w:rPr>
        <w:t>支持符合条件的金融机构在通州组团设立专营机构，探索开展特色化业务，丰富金融服务供给。积极吸引外资金融机构入驻，推动财富管理创新试点落地。</w:t>
      </w:r>
    </w:p>
    <w:p>
      <w:pPr>
        <w:pStyle w:val="heading1"/>
        <w:spacing w:before="0" w:after="0" w:line="540" w:lineRule="exact"/>
        <w:ind w:firstLineChars="200"/>
        <w:jc w:val="both"/>
        <w:rPr>
          <w:rFonts w:ascii="楷体_GB2312" w:hAnsi="楷体_GB2312" w:eastAsia="楷体_GB2312"/>
          <w:sz w:val="32"/>
          <w:szCs w:val="32"/>
        </w:rPr>
      </w:pPr>
      <w:r>
        <w:rPr>
          <w:rFonts w:ascii="楷体_GB2312" w:hAnsi="楷体_GB2312" w:eastAsia="楷体_GB2312"/>
          <w:sz w:val="32"/>
          <w:szCs w:val="32"/>
        </w:rPr>
        <w:t>（四）建设国际一流设计小镇</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13.加快设计资源要素聚集，为符合条件的机构释放更多应用场景。</w:t>
      </w:r>
      <w:r>
        <w:rPr>
          <w:rFonts w:ascii="仿宋" w:hAnsi="仿宋" w:eastAsia="仿宋"/>
          <w:color w:val="000000"/>
          <w:sz w:val="32"/>
          <w:szCs w:val="32"/>
        </w:rPr>
        <w:t>加快推进张家湾设计小镇项目建设，搭建公共服务平台和规划设计咨询产业协同创新平台，加快落地一批国内外领军企业、品牌机构与创业团队。引导境内外机构以联合体方式参与项目建设。聘请国际专家承担专项课题，提供城市建设和运营管理领域智力支持。</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14.促进文化创意贸易发展。</w:t>
      </w:r>
      <w:r>
        <w:rPr>
          <w:rFonts w:ascii="仿宋" w:hAnsi="仿宋" w:eastAsia="仿宋"/>
          <w:color w:val="000000"/>
          <w:sz w:val="32"/>
          <w:szCs w:val="32"/>
        </w:rPr>
        <w:t>聚焦创意设计、数字内容、原创动漫、版权运营等领域发展，联动设计产业上下游企业，打造国际设计产品展示体验和交流贸易中心。依托设计小镇文化旅游资源及会展设施，积极争取国际性文娱演出活动、艺术品交易活动落地，允许外商投资文艺表演团体（需由中方控股），探索优化营业性演出许可审批。发挥设计小镇国际一流建筑艺术环境和空间优势，研究探索小镇引入文化艺术品（非文物）等领域国际交易服务机构和相关市场主体。</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15.提升城市科技发展能级。</w:t>
      </w:r>
      <w:r>
        <w:rPr>
          <w:rFonts w:ascii="仿宋" w:hAnsi="仿宋" w:eastAsia="仿宋"/>
          <w:color w:val="000000"/>
          <w:sz w:val="32"/>
          <w:szCs w:val="32"/>
        </w:rPr>
        <w:t>加强人工智能、大数据、软件信息等领域国内外品牌机构引入，完善链条化服务，带动产业集聚。推动重要项目落地发展，推进公共服务平台搭建。打造一批城市科技应用示范场景。</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16.推动数字经济和数字贸易发展。</w:t>
      </w:r>
      <w:r>
        <w:rPr>
          <w:rFonts w:ascii="仿宋" w:hAnsi="仿宋" w:eastAsia="仿宋"/>
          <w:color w:val="000000"/>
          <w:sz w:val="32"/>
          <w:szCs w:val="32"/>
        </w:rPr>
        <w:t>围绕城市科技、创新设计等产业领域，吸引具有市场引领性的企业聚集。加强数字内容业态发展，吸引外商独资、中外合资文化主体集聚。加强以5G为重点的新一代信息基础设施建设。</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17.提升张家湾国际设计小镇的品牌影响力。</w:t>
      </w:r>
      <w:r>
        <w:rPr>
          <w:rFonts w:ascii="仿宋" w:hAnsi="仿宋" w:eastAsia="仿宋"/>
          <w:color w:val="000000"/>
          <w:sz w:val="32"/>
          <w:szCs w:val="32"/>
        </w:rPr>
        <w:t>加快推进北泡轻钢园区国际设计周展场、红星博物馆建设。提升国际设计周、北京建筑双年展的规格和能级。引导相关会议活动在张家湾设计小镇建立专项论坛或永久会址。争取引入国内外高端会议品牌。加强宣传推广力度，深化与国际设计机构和专业行业协会的互动交流。</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18.积极参与“一带一路”大运河文化建设。</w:t>
      </w:r>
      <w:r>
        <w:rPr>
          <w:rFonts w:ascii="仿宋" w:hAnsi="仿宋" w:eastAsia="仿宋"/>
          <w:color w:val="000000"/>
          <w:sz w:val="32"/>
          <w:szCs w:val="32"/>
        </w:rPr>
        <w:t>积极争取“一带一路”重大活动在设计小镇落地。支持建筑设计、规划设计、城市科技等领域具有实力的企业参与“一带一路”建设。</w:t>
      </w:r>
    </w:p>
    <w:p>
      <w:pPr>
        <w:pStyle w:val="heading1"/>
        <w:spacing w:before="0" w:after="0" w:line="540" w:lineRule="exact"/>
        <w:ind w:firstLineChars="200"/>
        <w:jc w:val="both"/>
        <w:rPr>
          <w:rFonts w:ascii="楷体_GB2312" w:hAnsi="楷体_GB2312" w:eastAsia="楷体_GB2312"/>
          <w:sz w:val="32"/>
          <w:szCs w:val="32"/>
        </w:rPr>
      </w:pPr>
      <w:r>
        <w:rPr>
          <w:rFonts w:ascii="楷体_GB2312" w:hAnsi="楷体_GB2312" w:eastAsia="楷体_GB2312"/>
          <w:sz w:val="32"/>
          <w:szCs w:val="32"/>
        </w:rPr>
        <w:t>（五）推动设计小镇创新实践</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19.加强国际合作积极推动北京设计之都建设。</w:t>
      </w:r>
      <w:r>
        <w:rPr>
          <w:rFonts w:ascii="仿宋" w:hAnsi="仿宋" w:eastAsia="仿宋"/>
          <w:color w:val="000000"/>
          <w:sz w:val="32"/>
          <w:szCs w:val="32"/>
        </w:rPr>
        <w:t>研究探索构建中国-新加坡相关领域的合作交流平台。</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20.深化工程和其他领域行政审批制度改革。</w:t>
      </w:r>
      <w:r>
        <w:rPr>
          <w:rFonts w:ascii="仿宋" w:hAnsi="仿宋" w:eastAsia="仿宋"/>
          <w:color w:val="000000"/>
          <w:sz w:val="32"/>
          <w:szCs w:val="32"/>
        </w:rPr>
        <w:t>研究探索取消施工图审查（或缩小审查范围）等工程建设领域审批制度改革。研究探索建设项目水、电、气、暖现场一次联办模式。研究探索简化社会投资的中小型工程建设项目审批。推进“证照分离”改革。推进政务服务综合窗口“区块链+电子证照”应用。研究探索在具备条件的领域推行政务服务事项告知承诺制。</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21.研究探索建立资质互认机制。</w:t>
      </w:r>
      <w:r>
        <w:rPr>
          <w:rFonts w:ascii="仿宋" w:hAnsi="仿宋" w:eastAsia="仿宋"/>
          <w:color w:val="000000"/>
          <w:sz w:val="32"/>
          <w:szCs w:val="32"/>
        </w:rPr>
        <w:t>研究探索对具有境外建筑及相关工程服务相应资质资格的企业，核发特别企业资质，在相关领域享受与国内企业同等待遇。研究探索给予外资设计咨询类企业综合甲级资质试点建设。</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22.提升张家湾设计小镇平台资源统筹能力和行业影响力。</w:t>
      </w:r>
      <w:r>
        <w:rPr>
          <w:rFonts w:ascii="仿宋" w:hAnsi="仿宋" w:eastAsia="仿宋"/>
          <w:color w:val="000000"/>
          <w:sz w:val="32"/>
          <w:szCs w:val="32"/>
        </w:rPr>
        <w:t>支持小镇龙头企业发起组建行业协会、联盟，为小镇发展提供行业专业意见，研究探索将优秀的经验在行业领域内推广宣传。编制张家湾设计小镇宣传刊物。研究探索打造高水平的设计领域评奖体系。</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23.打造青年设计师创业孵化基地。</w:t>
      </w:r>
      <w:r>
        <w:rPr>
          <w:rFonts w:ascii="仿宋" w:hAnsi="仿宋" w:eastAsia="仿宋"/>
          <w:color w:val="000000"/>
          <w:sz w:val="32"/>
          <w:szCs w:val="32"/>
        </w:rPr>
        <w:t>积极引导行业人才、机构资源落户张家湾设计小镇。集中统筹支持海外青年人才创新创业的相关政策，为海内外设计领域的青年创业者提供综合服务。研究探索青年设计人才支持计划。</w:t>
      </w:r>
    </w:p>
    <w:p>
      <w:pPr>
        <w:pStyle w:val="heading1"/>
        <w:spacing w:before="0" w:after="0" w:line="540" w:lineRule="exact"/>
        <w:ind w:firstLineChars="200"/>
        <w:jc w:val="both"/>
        <w:rPr>
          <w:rFonts w:ascii="楷体_GB2312" w:hAnsi="楷体_GB2312" w:eastAsia="楷体_GB2312"/>
          <w:sz w:val="32"/>
          <w:szCs w:val="32"/>
        </w:rPr>
      </w:pPr>
      <w:r>
        <w:rPr>
          <w:rFonts w:ascii="楷体_GB2312" w:hAnsi="楷体_GB2312" w:eastAsia="楷体_GB2312"/>
          <w:sz w:val="32"/>
          <w:szCs w:val="32"/>
        </w:rPr>
        <w:t>（六）打造高端服务业集群</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24.为专业服务机构注册设立绿色通道出台专项支持政策。</w:t>
      </w:r>
      <w:r>
        <w:rPr>
          <w:rFonts w:ascii="仿宋" w:hAnsi="仿宋" w:eastAsia="仿宋"/>
          <w:color w:val="000000"/>
          <w:sz w:val="32"/>
          <w:szCs w:val="32"/>
        </w:rPr>
        <w:t>研究探索允许特定领域的专业服务机构在通州组团设立专营机构或具有独立财务核算机制的事业部，并出台专项政策，对入驻机构及人才在一定期限内给予支持。</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25.推进职业教育国际合作项目集聚。</w:t>
      </w:r>
      <w:r>
        <w:rPr>
          <w:rFonts w:ascii="仿宋" w:hAnsi="仿宋" w:eastAsia="仿宋"/>
          <w:color w:val="000000"/>
          <w:sz w:val="32"/>
          <w:szCs w:val="32"/>
        </w:rPr>
        <w:t>支持外商投资举办经营性职业技能培训机构。积极争取引入国外先进职业教育机构，鼓励职业院校借鉴国际先进的人才培养模式和考试评价标准。</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26.加大国际教育和高端医疗资源供给</w:t>
      </w:r>
      <w:r>
        <w:rPr>
          <w:rFonts w:ascii="仿宋" w:hAnsi="仿宋" w:eastAsia="仿宋"/>
          <w:color w:val="000000"/>
          <w:sz w:val="32"/>
          <w:szCs w:val="32"/>
        </w:rPr>
        <w:t>。在国际教育方面，布局国际学校，扩大副中心国际教育影响力；在高端医疗资源供给方面，布局、建设高端社会办医疗机构，与现有公共医疗服务体系形成互补。</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27.建设链接全球资源的高端消费服务交易平台。</w:t>
      </w:r>
      <w:r>
        <w:rPr>
          <w:rFonts w:ascii="仿宋" w:hAnsi="仿宋" w:eastAsia="仿宋"/>
          <w:color w:val="000000"/>
          <w:sz w:val="32"/>
          <w:szCs w:val="32"/>
        </w:rPr>
        <w:t>加速高端商业设施集聚，允许境外高端消费服务机构在副中心开设体验中心和销售中心。引入专业展会和赛事。</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28.研究探索国际商务交流平台建设。</w:t>
      </w:r>
      <w:r>
        <w:rPr>
          <w:rFonts w:ascii="仿宋" w:hAnsi="仿宋" w:eastAsia="仿宋"/>
          <w:color w:val="000000"/>
          <w:sz w:val="32"/>
          <w:szCs w:val="32"/>
        </w:rPr>
        <w:t>研究探索推进国际商务交流在规定政策范围内实行过境免签，为国际交往创造便利条件。研究探索区域联动机制，提升跨境消费服务和高端消费服务供给能力。研究探索免税商品“线上+线下”运营模式。</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29.强化宣传推广。</w:t>
      </w:r>
      <w:r>
        <w:rPr>
          <w:rFonts w:ascii="仿宋" w:hAnsi="仿宋" w:eastAsia="仿宋"/>
          <w:color w:val="000000"/>
          <w:sz w:val="32"/>
          <w:szCs w:val="32"/>
        </w:rPr>
        <w:t>加强与国内外媒体行业的互动交流，探索构建海内外联动的媒体宣传矩阵。积极引导传媒广告行业在通州组团形成集聚。</w:t>
      </w:r>
    </w:p>
    <w:p>
      <w:pPr>
        <w:pStyle w:val="heading1"/>
        <w:spacing w:before="0" w:after="0" w:line="540" w:lineRule="exact"/>
        <w:ind w:firstLineChars="200"/>
        <w:jc w:val="both"/>
        <w:rPr>
          <w:rFonts w:ascii="楷体_GB2312" w:hAnsi="楷体_GB2312" w:eastAsia="楷体_GB2312"/>
          <w:sz w:val="32"/>
          <w:szCs w:val="32"/>
        </w:rPr>
      </w:pPr>
      <w:r>
        <w:rPr>
          <w:rFonts w:ascii="楷体_GB2312" w:hAnsi="楷体_GB2312" w:eastAsia="楷体_GB2312"/>
          <w:sz w:val="32"/>
          <w:szCs w:val="32"/>
        </w:rPr>
        <w:t>（七）构建创新型综合保障体系</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30.集中统筹服务职能，出台专项政策。</w:t>
      </w:r>
      <w:r>
        <w:rPr>
          <w:rFonts w:ascii="仿宋" w:hAnsi="仿宋" w:eastAsia="仿宋"/>
          <w:color w:val="000000"/>
          <w:sz w:val="32"/>
          <w:szCs w:val="32"/>
        </w:rPr>
        <w:t>建立全链条一站式服务窗口和服务站点。面向通州组团内的企业和人才提供政策咨询等服务，优化相关审批流程。积极落实高端人才优惠政策。研究探索通州组团内中资机构海外员工薪酬结汇便利化政策。推动落实外商投资准入前国民待遇加负面清单管理制度。</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31.研究探索实施综合用地模式。</w:t>
      </w:r>
      <w:r>
        <w:rPr>
          <w:rFonts w:ascii="仿宋" w:hAnsi="仿宋" w:eastAsia="仿宋"/>
          <w:color w:val="000000"/>
          <w:sz w:val="32"/>
          <w:szCs w:val="32"/>
        </w:rPr>
        <w:t>在用途、功能不冲突前提下，研究探索实现一宗地块具有多种土地用途、建筑复合使用（住宅用途除外），按照不同用途建筑面积计算土地出让金，不得分割转让。</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32.研究探索利用公募REITs加速片区滚动开发。</w:t>
      </w:r>
      <w:r>
        <w:rPr>
          <w:rFonts w:ascii="仿宋" w:hAnsi="仿宋" w:eastAsia="仿宋"/>
          <w:color w:val="000000"/>
          <w:sz w:val="32"/>
          <w:szCs w:val="32"/>
        </w:rPr>
        <w:t>加大区属国有企业优质运营资源的整合力度。遴选具备条件的民营企业开展产业园区专业运营。研究探索培育具有地方特色的产业园REITs专业运营管理企业和项目。借助社会资本、金融市场、专业机构等力量，高质量推动通州组团建设发展。</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33.优化财政金融支持。</w:t>
      </w:r>
      <w:r>
        <w:rPr>
          <w:rFonts w:ascii="仿宋" w:hAnsi="仿宋" w:eastAsia="仿宋"/>
          <w:color w:val="000000"/>
          <w:sz w:val="32"/>
          <w:szCs w:val="32"/>
        </w:rPr>
        <w:t>研究探索通过投资市场化股权基金方式，实现精准招商、吸引高质量企业入驻。</w:t>
      </w:r>
    </w:p>
    <w:p>
      <w:pPr>
        <w:pStyle w:val="heading1"/>
        <w:spacing w:before="0" w:after="0" w:line="540" w:lineRule="exact"/>
        <w:ind w:firstLineChars="200"/>
        <w:jc w:val="both"/>
        <w:rPr>
          <w:rFonts w:ascii="楷体_GB2312" w:hAnsi="楷体_GB2312" w:eastAsia="楷体_GB2312"/>
          <w:sz w:val="32"/>
          <w:szCs w:val="32"/>
        </w:rPr>
      </w:pPr>
      <w:r>
        <w:rPr>
          <w:rFonts w:ascii="楷体_GB2312" w:hAnsi="楷体_GB2312" w:eastAsia="楷体_GB2312"/>
          <w:sz w:val="32"/>
          <w:szCs w:val="32"/>
        </w:rPr>
        <w:t>（八）建立京津冀协同示范</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34.深化产业链协同发展。</w:t>
      </w:r>
      <w:r>
        <w:rPr>
          <w:rFonts w:ascii="仿宋" w:hAnsi="仿宋" w:eastAsia="仿宋"/>
          <w:color w:val="000000"/>
          <w:sz w:val="32"/>
          <w:szCs w:val="32"/>
        </w:rPr>
        <w:t>创新跨区域产业合作模式，研究探索建立总部-生产基地等多元产业对接合作模式。通州重点组织前沿科技、硬科技项目对接，北三县重点组织中试孵化、制造及配套服务项目承接。建立通州与北三县常态化项目会商机制、重大项目评审和统筹落地联合审议机制，研究制定重大项目管理办法。</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35.构建高效一体综合交通网络。</w:t>
      </w:r>
      <w:r>
        <w:rPr>
          <w:rFonts w:ascii="仿宋" w:hAnsi="仿宋" w:eastAsia="仿宋"/>
          <w:color w:val="000000"/>
          <w:sz w:val="32"/>
          <w:szCs w:val="32"/>
        </w:rPr>
        <w:t>加快推动城际交通轨道基础设施和综合交通网络建设。研究探索推进京津冀范围内进京快速免检机制。</w:t>
      </w:r>
    </w:p>
    <w:p>
      <w:pPr>
        <w:spacing w:before="0" w:after="0" w:line="540" w:lineRule="exact"/>
        <w:ind w:firstLineChars="200"/>
        <w:jc w:val="both"/>
        <w:rPr>
          <w:rFonts w:ascii="仿宋" w:hAnsi="仿宋" w:eastAsia="仿宋"/>
          <w:color w:val="000000"/>
          <w:sz w:val="32"/>
          <w:szCs w:val="32"/>
        </w:rPr>
      </w:pPr>
      <w:r>
        <w:rPr>
          <w:rFonts w:ascii="仿宋" w:hAnsi="仿宋" w:eastAsia="仿宋"/>
          <w:b w:val="true"/>
          <w:bCs w:val="true"/>
          <w:color w:val="000000"/>
          <w:sz w:val="32"/>
          <w:szCs w:val="32"/>
        </w:rPr>
        <w:t>36.推动公共配套设施共建共享</w:t>
      </w:r>
      <w:r>
        <w:rPr>
          <w:rFonts w:ascii="仿宋" w:hAnsi="仿宋" w:eastAsia="仿宋"/>
          <w:color w:val="000000"/>
          <w:sz w:val="32"/>
          <w:szCs w:val="32"/>
        </w:rPr>
        <w:t>。积极推动通州组团与北三县在教育、医疗、养老、文体等领域的共建共享。促进地区间文化、体育活动交流。</w:t>
      </w:r>
    </w:p>
    <w:p>
      <w:pPr>
        <w:pStyle w:val="heading2"/>
        <w:spacing w:before="0" w:after="0" w:line="540" w:lineRule="exact"/>
        <w:ind w:firstLineChars="200"/>
        <w:jc w:val="both"/>
        <w:rPr>
          <w:rFonts w:ascii="黑体" w:hAnsi="黑体" w:eastAsia="黑体"/>
          <w:sz w:val="32"/>
          <w:szCs w:val="32"/>
        </w:rPr>
      </w:pPr>
      <w:r>
        <w:rPr>
          <w:rFonts w:ascii="黑体" w:hAnsi="黑体" w:eastAsia="黑体"/>
          <w:sz w:val="32"/>
          <w:szCs w:val="32"/>
        </w:rPr>
        <w:t>六、保障措施</w:t>
      </w:r>
    </w:p>
    <w:p>
      <w:pPr>
        <w:spacing w:before="0" w:after="0" w:line="540" w:lineRule="exact"/>
        <w:ind w:firstLineChars="200"/>
        <w:jc w:val="both"/>
        <w:rPr>
          <w:rFonts w:ascii="仿宋" w:hAnsi="仿宋" w:eastAsia="仿宋"/>
          <w:color w:val="000000"/>
          <w:sz w:val="32"/>
          <w:szCs w:val="32"/>
        </w:rPr>
      </w:pPr>
      <w:r>
        <w:rPr>
          <w:rFonts w:ascii="楷体" w:hAnsi="楷体" w:eastAsia="楷体"/>
          <w:color w:val="000000"/>
          <w:sz w:val="32"/>
          <w:szCs w:val="32"/>
        </w:rPr>
        <w:t>（一）组织保障方面。</w:t>
      </w:r>
      <w:r>
        <w:rPr>
          <w:rFonts w:ascii="仿宋" w:hAnsi="仿宋" w:eastAsia="仿宋"/>
          <w:color w:val="000000"/>
          <w:sz w:val="32"/>
          <w:szCs w:val="32"/>
        </w:rPr>
        <w:t>加快推进通州组团机构调整，加强国际合作和区域联动；加强联动协同，落实任务部署，统筹工作推进；建立统筹决策、跟踪落实、定期调度等工作机制。</w:t>
      </w:r>
    </w:p>
    <w:p>
      <w:pPr>
        <w:spacing w:before="0" w:after="0" w:line="540" w:lineRule="exact"/>
        <w:ind w:firstLineChars="200"/>
        <w:jc w:val="both"/>
        <w:rPr>
          <w:rFonts w:ascii="仿宋" w:hAnsi="仿宋" w:eastAsia="仿宋"/>
          <w:color w:val="000000"/>
          <w:sz w:val="32"/>
          <w:szCs w:val="32"/>
        </w:rPr>
      </w:pPr>
      <w:r>
        <w:rPr>
          <w:rFonts w:ascii="楷体" w:hAnsi="楷体" w:eastAsia="楷体"/>
          <w:color w:val="000000"/>
          <w:sz w:val="32"/>
          <w:szCs w:val="32"/>
        </w:rPr>
        <w:t>（二）服务保障方面。</w:t>
      </w:r>
      <w:r>
        <w:rPr>
          <w:rFonts w:ascii="仿宋" w:hAnsi="仿宋" w:eastAsia="仿宋"/>
          <w:color w:val="000000"/>
          <w:sz w:val="32"/>
          <w:szCs w:val="32"/>
        </w:rPr>
        <w:t>提升贸易便利化水平，实施精细精准服务，加强知识产权保护与风险防控。</w:t>
      </w:r>
    </w:p>
    <w:p>
      <w:pPr>
        <w:spacing w:before="0" w:after="0" w:line="540" w:lineRule="exact"/>
        <w:ind w:firstLineChars="200"/>
        <w:jc w:val="both"/>
        <w:rPr>
          <w:rFonts w:ascii="仿宋" w:hAnsi="仿宋" w:eastAsia="仿宋"/>
          <w:color w:val="000000"/>
          <w:sz w:val="32"/>
          <w:szCs w:val="32"/>
        </w:rPr>
      </w:pPr>
      <w:r>
        <w:rPr>
          <w:rFonts w:ascii="楷体" w:hAnsi="楷体" w:eastAsia="楷体"/>
          <w:color w:val="000000"/>
          <w:sz w:val="32"/>
          <w:szCs w:val="32"/>
        </w:rPr>
        <w:t>（三）空间保障方面。</w:t>
      </w:r>
      <w:r>
        <w:rPr>
          <w:rFonts w:ascii="仿宋" w:hAnsi="仿宋" w:eastAsia="仿宋"/>
          <w:color w:val="000000"/>
          <w:sz w:val="32"/>
          <w:szCs w:val="32"/>
        </w:rPr>
        <w:t>加快推进重大工程项目建设，完善基础设施环境；推进楼宇更新改造，完善商业配套设施，整合存量空间资源和散售商业经营权。</w:t>
      </w:r>
    </w:p>
    <w:p>
      <w:pPr>
        <w:spacing w:before="0" w:after="0" w:line="540" w:lineRule="exact"/>
        <w:ind w:firstLineChars="200"/>
        <w:jc w:val="both"/>
        <w:rPr>
          <w:rFonts w:ascii="仿宋" w:hAnsi="仿宋" w:eastAsia="仿宋"/>
          <w:color w:val="000000"/>
          <w:sz w:val="32"/>
          <w:szCs w:val="32"/>
        </w:rPr>
      </w:pPr>
      <w:r>
        <w:rPr>
          <w:rFonts w:ascii="楷体" w:hAnsi="楷体" w:eastAsia="楷体"/>
          <w:color w:val="000000"/>
          <w:sz w:val="32"/>
          <w:szCs w:val="32"/>
        </w:rPr>
        <w:t>（四）政策资金保障方面。</w:t>
      </w:r>
      <w:r>
        <w:rPr>
          <w:rFonts w:ascii="仿宋" w:hAnsi="仿宋" w:eastAsia="仿宋"/>
          <w:color w:val="000000"/>
          <w:sz w:val="32"/>
          <w:szCs w:val="32"/>
        </w:rPr>
        <w:t>放大政策叠加效应，用足用好各类相关政策；加强产业发展资金要素保障。</w:t>
      </w:r>
    </w:p>
    <w:p>
      <w:pPr>
        <w:spacing w:before="0" w:after="0" w:line="540" w:lineRule="exact"/>
        <w:ind w:firstLineChars="200"/>
        <w:jc w:val="both"/>
        <w:rPr>
          <w:rFonts w:ascii="仿宋" w:hAnsi="仿宋" w:eastAsia="仿宋"/>
          <w:color w:val="000000"/>
          <w:sz w:val="32"/>
          <w:szCs w:val="32"/>
        </w:rPr>
      </w:pPr>
      <w:r>
        <w:rPr>
          <w:rFonts w:ascii="仿宋" w:hAnsi="仿宋" w:eastAsia="仿宋"/>
          <w:color w:val="000000"/>
          <w:sz w:val="32"/>
          <w:szCs w:val="32"/>
        </w:rPr>
      </w:r>
    </w:p>
    <w:p>
      <w:pPr>
        <w:spacing w:before="0" w:after="0" w:line="240" w:lineRule="auto"/>
        <w:ind/>
        <w:jc w:val="both"/>
        <w:rPr>
          <w:rFonts w:ascii="等线" w:hAnsi="等线" w:eastAsia="等线"/>
          <w:color w:val="000000"/>
          <w:sz w:val="21"/>
          <w:szCs w:val="21"/>
        </w:rPr>
      </w:pPr>
      <w:r>
        <w:rPr>
          <w:rFonts w:ascii="等线" w:hAnsi="等线" w:eastAsia="等线"/>
          <w:color w:val="000000"/>
          <w:sz w:val="21"/>
          <w:szCs w:val="21"/>
        </w:rPr>
      </w:r>
    </w:p>
    <w:sectPr w:rsidR="00C604EC">
      <w:footerReference w:type="default" r:id="rId9"/>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p>
    <w:pPr>
      <w:snapToGrid/>
      <w:spacing w:before="0" w:after="0" w:line="240" w:lineRule="auto"/>
      <w:ind/>
      <w:jc w:val="left"/>
      <w:rPr>
        <w:rFonts w:ascii="宋体" w:hAnsi="宋体" w:eastAsia="宋体"/>
        <w:color w:val="000000"/>
        <w:sz w:val="18"/>
        <w:szCs w:val="18"/>
      </w:rPr>
    </w:pPr>
    <w:r>
      <w:rPr>
        <w:rFonts w:ascii="宋体" w:hAnsi="宋体" w:eastAsia="宋体"/>
        <w:color w:val="000000"/>
        <w:sz w:val="18"/>
        <w:szCs w:val="18"/>
      </w:rPr>
      <w:t/>
    </w:r>
  </w:p>
  <w:p>
    <w:pPr>
      <w:snapToGrid w:val="false"/>
      <w:spacing w:before="0" w:after="0" w:line="240" w:lineRule="auto"/>
      <w:ind/>
      <w:jc w:val="left"/>
      <w:rPr>
        <w:rFonts w:ascii="微软雅黑" w:hAnsi="微软雅黑" w:eastAsia="微软雅黑"/>
        <w:color w:val="000000"/>
        <w:sz w:val="21"/>
        <w:szCs w:val="21"/>
      </w:rPr>
    </w:pPr>
    <w:r>
      <w:fldChar w:fldCharType="begin"/>
    </w:r>
    <w:r>
      <w:rPr>
        <w:rFonts w:ascii="宋体" w:hAnsi="宋体" w:eastAsia="宋体"/>
        <w:sz w:val="28"/>
        <w:szCs w:val="28"/>
      </w:rPr>
      <w:instrText xml:space="preserve">PAGE</w:instrTex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1026" v:ext="edit">
      <o:colormru colors="white" v:ext="edit"/>
    </o:shapedefaults>
    <o:shapelayout v:ext="edit">
      <o:idmap data="1" v:ext="edit"/>
    </o:shapelayout>
  </w:shapeDefaults>
  <w:decimalSymbol w:val="."/>
  <w:listSeparator w:val=","/>
  <w15:docId w15:val="{20DE070A-6068-41E9-B520-D45B669F5A4D}"/>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Theme="minorHAnsi" w:hAnsiTheme="minorHAnsi" w:eastAsiaTheme="minorEastAsia" w:cstheme="minorBidi"/>
        <w:lang w:val="en-US" w:eastAsia="zh-CN"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nhideWhenUsed="true" w:qFormat="true"/>
    <w:lsdException w:name="footer" w:unhideWhenUsed="true" w:qFormat="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unhideWhenUsed="true" w:qFormat="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qFormat="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semiHidden="true" w:unhideWhenUsed="true" w:qFormat="true"/>
    <w:lsdException w:name="Table Theme" w:semiHidden="true" w:unhideWhenUsed="true"/>
    <w:lsdException w:name="Placeholder Text" w:semiHidden="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pPr>
      <w:widowControl w:val="false"/>
      <w:jc w:val="both"/>
    </w:pPr>
    <w:rPr>
      <w:kern w:val="2"/>
      <w:sz w:val="21"/>
      <w:szCs w:val="22"/>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a4"/>
    <w:uiPriority w:val="99"/>
    <w:unhideWhenUsed/>
    <w:qFormat/>
    <w:pPr>
      <w:tabs>
        <w:tab w:val="center" w:pos="4153"/>
        <w:tab w:val="right" w:pos="8306"/>
      </w:tabs>
      <w:snapToGrid w:val="false"/>
      <w:jc w:val="left"/>
    </w:pPr>
    <w:rPr>
      <w:sz w:val="18"/>
      <w:szCs w:val="18"/>
    </w:rPr>
  </w:style>
  <w:style w:type="paragraph" w:styleId="a5">
    <w:name w:val="header"/>
    <w:basedOn w:val="a"/>
    <w:link w:val="a6"/>
    <w:uiPriority w:val="99"/>
    <w:unhideWhenUsed/>
    <w:qFormat/>
    <w:pPr>
      <w:pBdr>
        <w:bottom w:val="single" w:color="auto" w:sz="6" w:space="1"/>
      </w:pBdr>
      <w:tabs>
        <w:tab w:val="center" w:pos="4153"/>
        <w:tab w:val="right" w:pos="8306"/>
      </w:tabs>
      <w:snapToGrid w:val="false"/>
      <w:jc w:val="center"/>
    </w:pPr>
    <w:rPr>
      <w:sz w:val="18"/>
      <w:szCs w:val="18"/>
    </w:rPr>
  </w:style>
  <w:style w:type="table" w:styleId="a7">
    <w:name w:val="Table Grid"/>
    <w:basedOn w:val="a1"/>
    <w:uiPriority w:val="59"/>
    <w:qFormat/>
    <w:pPr>
      <w:widowControl w:val="false"/>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6" w:customStyle="true">
    <w:name w:val="页眉 字符"/>
    <w:basedOn w:val="a0"/>
    <w:link w:val="a5"/>
    <w:uiPriority w:val="99"/>
    <w:semiHidden/>
    <w:qFormat/>
    <w:rPr>
      <w:sz w:val="18"/>
      <w:szCs w:val="18"/>
    </w:rPr>
  </w:style>
  <w:style w:type="character" w:styleId="a4" w:customStyle="true">
    <w:name w:val="页脚 字符"/>
    <w:basedOn w:val="a0"/>
    <w:link w:val="a3"/>
    <w:uiPriority w:val="99"/>
    <w:semiHidden/>
    <w:qFormat/>
    <w:rPr>
      <w:sz w:val="18"/>
      <w:szCs w:val="18"/>
    </w:rPr>
  </w:style>
  <w:style w:type="paragraph" w:styleId="a8">
    <w:name w:val="List Paragraph"/>
    <w:basedOn w:val="a"/>
    <w:uiPriority w:val="34"/>
    <w:qFormat/>
    <w:pPr>
      <w:ind w:firstLine="420" w:firstLineChars="200"/>
    </w:pPr>
  </w:style>
  <w:style w:type="paragraph" w:styleId="heading2">
    <w:name w:val="heading 2"/>
    <w:basedOn w:val="a"/>
    <w:next w:val="a"/>
    <w:uiPriority w:val="9"/>
    <w:unhideWhenUsed/>
    <w:qFormat/>
    <w:rsid w:val="001C768A"/>
    <w:pPr>
      <w:keepNext/>
      <w:keepLines/>
      <w:spacing w:before="240" w:after="240" w:line="408" w:lineRule="auto"/>
      <w:jc w:val="left"/>
      <w:outlineLvl w:val="1"/>
    </w:pPr>
    <w:rPr>
      <w:rFonts w:asciiTheme="majorHAnsi" w:hAnsiTheme="majorHAnsi" w:eastAsiaTheme="majorEastAsia" w:cstheme="majorBidi"/>
      <w:b/>
      <w:bCs/>
      <w:color w:val="#000000"/>
      <w:sz w:val="32"/>
      <w:szCs w:val="32"/>
    </w:rPr>
  </w:style>
  <w:style w:type="paragraph" w:styleId="heading1">
    <w:name w:val="heading 1"/>
    <w:basedOn w:val="a"/>
    <w:next w:val="a"/>
    <w:uiPriority w:val="9"/>
    <w:qFormat/>
    <w:rsid w:val="001C768A"/>
    <w:pPr>
      <w:keepNext/>
      <w:keepLines/>
      <w:spacing w:before="240" w:after="240" w:line="408" w:lineRule="auto"/>
      <w:jc w:val="left"/>
      <w:outlineLvl w:val="0"/>
    </w:pPr>
    <w:rPr>
      <w:b/>
      <w:bCs/>
      <w:color w:val="#000000"/>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footer.xml" Type="http://schemas.openxmlformats.org/officeDocument/2006/relationships/footer" Id="rId9"/></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Tencent</properties:Application>
  <properties:AppVersion>3.3</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