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方正小标宋简体" w:eastAsia="方正小标宋简体"/>
          <w:kern w:val="0"/>
          <w:sz w:val="44"/>
          <w:szCs w:val="44"/>
          <w:highlight w:val="none"/>
        </w:rPr>
      </w:pPr>
      <w:bookmarkStart w:id="8" w:name="_GoBack"/>
      <w:bookmarkEnd w:id="8"/>
      <w:bookmarkStart w:id="0" w:name="_Hlk16518858"/>
      <w:bookmarkStart w:id="1" w:name="RiseOffice_body"/>
    </w:p>
    <w:p>
      <w:pPr>
        <w:adjustRightInd w:val="0"/>
        <w:snapToGrid w:val="0"/>
        <w:spacing w:line="600" w:lineRule="exact"/>
        <w:jc w:val="center"/>
        <w:rPr>
          <w:rFonts w:ascii="方正小标宋简体" w:eastAsia="方正小标宋简体"/>
          <w:kern w:val="0"/>
          <w:sz w:val="44"/>
          <w:szCs w:val="44"/>
          <w:highlight w:val="none"/>
        </w:rPr>
      </w:pPr>
    </w:p>
    <w:p>
      <w:pPr>
        <w:adjustRightInd w:val="0"/>
        <w:snapToGrid w:val="0"/>
        <w:spacing w:line="600" w:lineRule="exact"/>
        <w:jc w:val="center"/>
        <w:rPr>
          <w:rFonts w:ascii="方正小标宋简体" w:eastAsia="方正小标宋简体"/>
          <w:kern w:val="0"/>
          <w:sz w:val="44"/>
          <w:szCs w:val="44"/>
          <w:highlight w:val="none"/>
        </w:rPr>
      </w:pPr>
      <w:r>
        <w:rPr>
          <w:rFonts w:hint="eastAsia" w:ascii="方正小标宋简体" w:eastAsia="方正小标宋简体"/>
          <w:kern w:val="0"/>
          <w:sz w:val="44"/>
          <w:szCs w:val="44"/>
          <w:highlight w:val="none"/>
        </w:rPr>
        <w:t>通州区重点企业</w:t>
      </w:r>
      <w:bookmarkEnd w:id="0"/>
      <w:r>
        <w:rPr>
          <w:rFonts w:hint="eastAsia" w:ascii="方正小标宋简体" w:eastAsia="方正小标宋简体"/>
          <w:kern w:val="0"/>
          <w:sz w:val="44"/>
          <w:szCs w:val="44"/>
          <w:highlight w:val="none"/>
        </w:rPr>
        <w:t>落户奖励实施办法</w:t>
      </w:r>
    </w:p>
    <w:p>
      <w:pPr>
        <w:adjustRightInd w:val="0"/>
        <w:snapToGrid w:val="0"/>
        <w:spacing w:line="600" w:lineRule="exact"/>
        <w:jc w:val="center"/>
        <w:rPr>
          <w:rFonts w:ascii="方正小标宋简体" w:eastAsia="方正小标宋简体"/>
          <w:kern w:val="0"/>
          <w:sz w:val="44"/>
          <w:szCs w:val="44"/>
          <w:highlight w:val="none"/>
        </w:rPr>
      </w:pPr>
    </w:p>
    <w:p>
      <w:pPr>
        <w:pStyle w:val="2"/>
        <w:spacing w:beforeLines="0" w:afterLines="0"/>
        <w:rPr>
          <w:highlight w:val="none"/>
        </w:rPr>
      </w:pPr>
      <w:r>
        <w:rPr>
          <w:rFonts w:hint="eastAsia"/>
          <w:highlight w:val="none"/>
        </w:rPr>
        <w:t>第一章  总则</w:t>
      </w:r>
    </w:p>
    <w:p>
      <w:pPr>
        <w:numPr>
          <w:ilvl w:val="0"/>
          <w:numId w:val="1"/>
        </w:numPr>
        <w:adjustRightInd w:val="0"/>
        <w:snapToGrid w:val="0"/>
        <w:spacing w:line="600" w:lineRule="exact"/>
        <w:ind w:left="0" w:firstLine="640" w:firstLineChars="200"/>
        <w:rPr>
          <w:rFonts w:ascii="仿宋_GB2312" w:hAnsi="Times New Roman" w:eastAsia="仿宋_GB2312"/>
          <w:kern w:val="0"/>
          <w:sz w:val="32"/>
          <w:szCs w:val="32"/>
          <w:highlight w:val="none"/>
        </w:rPr>
      </w:pPr>
      <w:r>
        <w:rPr>
          <w:rFonts w:hint="eastAsia" w:ascii="仿宋_GB2312" w:hAnsi="Times New Roman" w:eastAsia="仿宋_GB2312"/>
          <w:kern w:val="0"/>
          <w:sz w:val="32"/>
          <w:szCs w:val="32"/>
          <w:highlight w:val="none"/>
        </w:rPr>
        <w:t>为加快推进通州区产业高质量发展，实现北京城市副中心的功能定位和发展目标，鼓励重点企业在通州区落户发展，根据《关于加快推进北京城市副中心高精尖产业发展实施意见》等文件精神，结合通州区实际，制定本办法。</w:t>
      </w:r>
    </w:p>
    <w:p>
      <w:pPr>
        <w:numPr>
          <w:ilvl w:val="0"/>
          <w:numId w:val="1"/>
        </w:numPr>
        <w:adjustRightInd w:val="0"/>
        <w:snapToGrid w:val="0"/>
        <w:spacing w:line="600" w:lineRule="exact"/>
        <w:ind w:left="0" w:firstLine="640" w:firstLineChars="200"/>
        <w:rPr>
          <w:rFonts w:ascii="仿宋_GB2312" w:hAnsi="Times New Roman" w:eastAsia="仿宋_GB2312"/>
          <w:kern w:val="0"/>
          <w:sz w:val="32"/>
          <w:szCs w:val="32"/>
          <w:highlight w:val="none"/>
        </w:rPr>
      </w:pPr>
      <w:r>
        <w:rPr>
          <w:rFonts w:hint="eastAsia" w:ascii="仿宋_GB2312" w:hAnsi="Times New Roman" w:eastAsia="仿宋_GB2312"/>
          <w:kern w:val="0"/>
          <w:sz w:val="32"/>
          <w:szCs w:val="32"/>
          <w:highlight w:val="none"/>
        </w:rPr>
        <w:t>本办法所指重点企业落户奖励资金（下文简称“奖励资金”）来源为通州区重点企业发展专项扶持资金，其使用和管理遵守有关法律法规和财务规章制度。资金规模根据区年度财政资金预算情况与区域产业发展实际需要，进行动态调整。</w:t>
      </w:r>
    </w:p>
    <w:p>
      <w:pPr>
        <w:numPr>
          <w:ilvl w:val="0"/>
          <w:numId w:val="1"/>
        </w:numPr>
        <w:adjustRightInd w:val="0"/>
        <w:snapToGrid w:val="0"/>
        <w:spacing w:line="600" w:lineRule="exact"/>
        <w:ind w:left="0" w:firstLine="640" w:firstLineChars="200"/>
        <w:rPr>
          <w:rFonts w:ascii="仿宋_GB2312" w:hAnsi="Times New Roman" w:eastAsia="仿宋_GB2312"/>
          <w:kern w:val="0"/>
          <w:sz w:val="32"/>
          <w:szCs w:val="32"/>
          <w:highlight w:val="none"/>
        </w:rPr>
      </w:pPr>
      <w:bookmarkStart w:id="2" w:name="_Hlk21447271"/>
      <w:bookmarkStart w:id="3" w:name="_Hlk28046806"/>
      <w:r>
        <w:rPr>
          <w:rFonts w:hint="eastAsia" w:ascii="仿宋_GB2312" w:hAnsi="Times New Roman" w:eastAsia="仿宋_GB2312"/>
          <w:kern w:val="0"/>
          <w:sz w:val="32"/>
          <w:szCs w:val="32"/>
          <w:highlight w:val="none"/>
        </w:rPr>
        <w:t>企业申请落户奖励须同时符合以下基本条件：</w:t>
      </w:r>
      <w:bookmarkEnd w:id="2"/>
    </w:p>
    <w:p>
      <w:pPr>
        <w:spacing w:line="600" w:lineRule="exact"/>
        <w:ind w:firstLine="640" w:firstLineChars="200"/>
        <w:rPr>
          <w:rFonts w:ascii="仿宋_GB2312" w:hAnsi="黑体" w:eastAsia="仿宋_GB2312"/>
          <w:sz w:val="32"/>
          <w:szCs w:val="32"/>
          <w:highlight w:val="none"/>
        </w:rPr>
      </w:pPr>
      <w:r>
        <w:rPr>
          <w:rFonts w:hint="eastAsia" w:ascii="仿宋_GB2312" w:hAnsi="Times New Roman" w:eastAsia="仿宋_GB2312"/>
          <w:kern w:val="0"/>
          <w:sz w:val="32"/>
          <w:szCs w:val="32"/>
          <w:highlight w:val="none"/>
        </w:rPr>
        <w:t>（一）2019年1月1日以后在通州区完成工商注册和税务登记，达到一定经营规模，连续三年盈利，具备独立法人资格并实际经营。</w:t>
      </w:r>
      <w:r>
        <w:rPr>
          <w:rFonts w:ascii="仿宋_GB2312" w:hAnsi="黑体" w:eastAsia="仿宋_GB2312"/>
          <w:sz w:val="32"/>
          <w:szCs w:val="32"/>
          <w:highlight w:val="none"/>
        </w:rPr>
        <w:t xml:space="preserve"> </w:t>
      </w:r>
    </w:p>
    <w:bookmarkEnd w:id="3"/>
    <w:p>
      <w:pPr>
        <w:spacing w:line="60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（二）符合《北京市新增产业的禁止和限制目录》（现行最新版）、《通州区新增产业的禁止和限制目录》（现行最新版），</w:t>
      </w:r>
      <w:r>
        <w:rPr>
          <w:rFonts w:ascii="仿宋_GB2312" w:hAnsi="黑体" w:eastAsia="仿宋_GB2312"/>
          <w:sz w:val="32"/>
          <w:szCs w:val="32"/>
          <w:highlight w:val="none"/>
        </w:rPr>
        <w:t>通州区产业</w:t>
      </w:r>
      <w:r>
        <w:rPr>
          <w:rFonts w:hint="eastAsia" w:ascii="仿宋_GB2312" w:hAnsi="黑体" w:eastAsia="仿宋_GB2312"/>
          <w:sz w:val="32"/>
          <w:szCs w:val="32"/>
          <w:highlight w:val="none"/>
        </w:rPr>
        <w:t>发展方向和产业项目</w:t>
      </w:r>
      <w:r>
        <w:rPr>
          <w:rFonts w:ascii="仿宋_GB2312" w:hAnsi="黑体" w:eastAsia="仿宋_GB2312"/>
          <w:sz w:val="32"/>
          <w:szCs w:val="32"/>
          <w:highlight w:val="none"/>
        </w:rPr>
        <w:t>准入相关</w:t>
      </w:r>
      <w:r>
        <w:rPr>
          <w:rFonts w:hint="eastAsia" w:ascii="仿宋_GB2312" w:hAnsi="黑体" w:eastAsia="仿宋_GB2312"/>
          <w:sz w:val="32"/>
          <w:szCs w:val="32"/>
          <w:highlight w:val="none"/>
        </w:rPr>
        <w:t>要求</w:t>
      </w:r>
      <w:r>
        <w:rPr>
          <w:rFonts w:ascii="仿宋_GB2312" w:hAnsi="黑体" w:eastAsia="仿宋_GB2312"/>
          <w:sz w:val="32"/>
          <w:szCs w:val="32"/>
          <w:highlight w:val="none"/>
        </w:rPr>
        <w:t>。</w:t>
      </w:r>
    </w:p>
    <w:p>
      <w:pPr>
        <w:adjustRightInd w:val="0"/>
        <w:snapToGrid w:val="0"/>
        <w:spacing w:line="600" w:lineRule="exact"/>
        <w:ind w:firstLine="640" w:firstLineChars="200"/>
        <w:rPr>
          <w:rFonts w:ascii="仿宋_GB2312" w:hAnsi="Times New Roman" w:eastAsia="仿宋_GB2312"/>
          <w:kern w:val="0"/>
          <w:sz w:val="32"/>
          <w:szCs w:val="32"/>
          <w:highlight w:val="none"/>
        </w:rPr>
      </w:pPr>
      <w:r>
        <w:rPr>
          <w:rFonts w:hint="eastAsia" w:ascii="仿宋_GB2312" w:hAnsi="黑体" w:eastAsia="仿宋_GB2312"/>
          <w:sz w:val="32"/>
          <w:szCs w:val="32"/>
          <w:highlight w:val="none"/>
        </w:rPr>
        <w:t>（三）经济状况良好，在工商、税务、环保等方面无不良行为记录，内部管理规范，财务管理制度健全。</w:t>
      </w:r>
    </w:p>
    <w:p>
      <w:pPr>
        <w:adjustRightInd w:val="0"/>
        <w:snapToGrid w:val="0"/>
        <w:spacing w:line="600" w:lineRule="exact"/>
        <w:ind w:firstLine="640" w:firstLineChars="200"/>
        <w:rPr>
          <w:rFonts w:ascii="仿宋_GB2312" w:hAnsi="Times New Roman" w:eastAsia="仿宋_GB2312"/>
          <w:kern w:val="0"/>
          <w:sz w:val="32"/>
          <w:szCs w:val="32"/>
          <w:highlight w:val="none"/>
        </w:rPr>
      </w:pPr>
      <w:r>
        <w:rPr>
          <w:rFonts w:hint="eastAsia" w:ascii="仿宋_GB2312" w:hAnsi="Times New Roman" w:eastAsia="仿宋_GB2312"/>
          <w:kern w:val="0"/>
          <w:sz w:val="32"/>
          <w:szCs w:val="32"/>
          <w:highlight w:val="none"/>
        </w:rPr>
        <w:t>（四）企业类型经通州区认定且至少符合下列条件中的一项：</w:t>
      </w:r>
    </w:p>
    <w:p>
      <w:pPr>
        <w:adjustRightInd w:val="0"/>
        <w:snapToGrid w:val="0"/>
        <w:spacing w:line="600" w:lineRule="exact"/>
        <w:ind w:firstLine="640" w:firstLineChars="200"/>
        <w:rPr>
          <w:rFonts w:ascii="仿宋_GB2312" w:hAnsi="Times New Roman" w:eastAsia="仿宋_GB2312"/>
          <w:kern w:val="0"/>
          <w:sz w:val="32"/>
          <w:szCs w:val="32"/>
          <w:highlight w:val="none"/>
        </w:rPr>
      </w:pPr>
      <w:r>
        <w:rPr>
          <w:rFonts w:hint="eastAsia" w:ascii="仿宋_GB2312" w:hAnsi="Times New Roman" w:eastAsia="仿宋_GB2312"/>
          <w:kern w:val="0"/>
          <w:sz w:val="32"/>
          <w:szCs w:val="32"/>
          <w:highlight w:val="none"/>
        </w:rPr>
        <w:t>1.金融机构；</w:t>
      </w:r>
    </w:p>
    <w:p>
      <w:pPr>
        <w:adjustRightInd w:val="0"/>
        <w:snapToGrid w:val="0"/>
        <w:spacing w:line="600" w:lineRule="exact"/>
        <w:ind w:firstLine="640" w:firstLineChars="200"/>
        <w:rPr>
          <w:rFonts w:ascii="仿宋_GB2312" w:hAnsi="Times New Roman" w:eastAsia="仿宋_GB2312"/>
          <w:kern w:val="0"/>
          <w:sz w:val="32"/>
          <w:szCs w:val="32"/>
          <w:highlight w:val="none"/>
        </w:rPr>
      </w:pPr>
      <w:r>
        <w:rPr>
          <w:rFonts w:hint="eastAsia" w:ascii="仿宋_GB2312" w:hAnsi="Times New Roman" w:eastAsia="仿宋_GB2312"/>
          <w:kern w:val="0"/>
          <w:sz w:val="32"/>
          <w:szCs w:val="32"/>
          <w:highlight w:val="none"/>
        </w:rPr>
        <w:t>2.总部企业；</w:t>
      </w:r>
    </w:p>
    <w:p>
      <w:pPr>
        <w:adjustRightInd w:val="0"/>
        <w:snapToGrid w:val="0"/>
        <w:spacing w:line="600" w:lineRule="exact"/>
        <w:ind w:firstLine="640" w:firstLineChars="200"/>
        <w:rPr>
          <w:rFonts w:ascii="仿宋_GB2312" w:hAnsi="Times New Roman" w:eastAsia="仿宋_GB2312"/>
          <w:kern w:val="0"/>
          <w:sz w:val="32"/>
          <w:szCs w:val="32"/>
          <w:highlight w:val="none"/>
        </w:rPr>
      </w:pPr>
      <w:r>
        <w:rPr>
          <w:rFonts w:hint="eastAsia" w:ascii="仿宋_GB2312" w:hAnsi="Times New Roman" w:eastAsia="仿宋_GB2312"/>
          <w:kern w:val="0"/>
          <w:sz w:val="32"/>
          <w:szCs w:val="32"/>
          <w:highlight w:val="none"/>
        </w:rPr>
        <w:t>3.专业服务企业；</w:t>
      </w:r>
      <w:r>
        <w:rPr>
          <w:rFonts w:ascii="仿宋_GB2312" w:hAnsi="Times New Roman" w:eastAsia="仿宋_GB2312"/>
          <w:kern w:val="0"/>
          <w:sz w:val="32"/>
          <w:szCs w:val="32"/>
          <w:highlight w:val="none"/>
        </w:rPr>
        <w:t xml:space="preserve"> </w:t>
      </w:r>
    </w:p>
    <w:p>
      <w:pPr>
        <w:adjustRightInd w:val="0"/>
        <w:snapToGrid w:val="0"/>
        <w:spacing w:line="600" w:lineRule="exact"/>
        <w:ind w:firstLine="640" w:firstLineChars="200"/>
        <w:rPr>
          <w:rFonts w:ascii="仿宋_GB2312" w:hAnsi="Times New Roman" w:eastAsia="仿宋_GB2312"/>
          <w:kern w:val="0"/>
          <w:sz w:val="32"/>
          <w:szCs w:val="32"/>
          <w:highlight w:val="none"/>
        </w:rPr>
      </w:pPr>
      <w:r>
        <w:rPr>
          <w:rFonts w:hint="eastAsia" w:ascii="仿宋_GB2312" w:hAnsi="Times New Roman" w:eastAsia="仿宋_GB2312"/>
          <w:kern w:val="0"/>
          <w:sz w:val="32"/>
          <w:szCs w:val="32"/>
          <w:highlight w:val="none"/>
        </w:rPr>
        <w:t>4.独角兽企业；</w:t>
      </w:r>
    </w:p>
    <w:p>
      <w:pPr>
        <w:adjustRightInd w:val="0"/>
        <w:snapToGrid w:val="0"/>
        <w:spacing w:line="600" w:lineRule="exact"/>
        <w:ind w:firstLine="640" w:firstLineChars="200"/>
        <w:rPr>
          <w:rFonts w:ascii="仿宋_GB2312" w:hAnsi="Times New Roman" w:eastAsia="仿宋_GB2312"/>
          <w:kern w:val="0"/>
          <w:sz w:val="32"/>
          <w:szCs w:val="32"/>
          <w:highlight w:val="none"/>
        </w:rPr>
      </w:pPr>
      <w:r>
        <w:rPr>
          <w:rFonts w:hint="eastAsia" w:ascii="仿宋_GB2312" w:hAnsi="Times New Roman" w:eastAsia="仿宋_GB2312"/>
          <w:kern w:val="0"/>
          <w:sz w:val="32"/>
          <w:szCs w:val="32"/>
          <w:highlight w:val="none"/>
        </w:rPr>
        <w:t>5.上市公司；</w:t>
      </w:r>
    </w:p>
    <w:p>
      <w:pPr>
        <w:adjustRightInd w:val="0"/>
        <w:snapToGrid w:val="0"/>
        <w:spacing w:line="600" w:lineRule="exact"/>
        <w:ind w:firstLine="640" w:firstLineChars="200"/>
        <w:rPr>
          <w:rFonts w:ascii="仿宋_GB2312" w:hAnsi="Times New Roman" w:eastAsia="仿宋_GB2312"/>
          <w:kern w:val="0"/>
          <w:sz w:val="32"/>
          <w:szCs w:val="32"/>
          <w:highlight w:val="none"/>
        </w:rPr>
      </w:pPr>
      <w:r>
        <w:rPr>
          <w:rFonts w:hint="eastAsia" w:ascii="仿宋_GB2312" w:hAnsi="Times New Roman" w:eastAsia="仿宋_GB2312"/>
          <w:kern w:val="0"/>
          <w:sz w:val="32"/>
          <w:szCs w:val="32"/>
          <w:highlight w:val="none"/>
        </w:rPr>
        <w:t>6.国家高新技术企业；</w:t>
      </w:r>
    </w:p>
    <w:p>
      <w:pPr>
        <w:adjustRightInd w:val="0"/>
        <w:snapToGrid w:val="0"/>
        <w:spacing w:line="600" w:lineRule="exact"/>
        <w:ind w:firstLine="640" w:firstLineChars="200"/>
        <w:rPr>
          <w:rFonts w:ascii="仿宋_GB2312" w:hAnsi="Times New Roman" w:eastAsia="仿宋_GB2312"/>
          <w:kern w:val="0"/>
          <w:sz w:val="32"/>
          <w:szCs w:val="32"/>
          <w:highlight w:val="none"/>
        </w:rPr>
      </w:pPr>
      <w:r>
        <w:rPr>
          <w:rFonts w:hint="eastAsia" w:ascii="仿宋_GB2312" w:hAnsi="Times New Roman" w:eastAsia="仿宋_GB2312"/>
          <w:kern w:val="0"/>
          <w:sz w:val="32"/>
          <w:szCs w:val="32"/>
          <w:highlight w:val="none"/>
        </w:rPr>
        <w:t>7.高质量迁入企业；</w:t>
      </w:r>
    </w:p>
    <w:p>
      <w:pPr>
        <w:adjustRightInd w:val="0"/>
        <w:snapToGrid w:val="0"/>
        <w:spacing w:line="600" w:lineRule="exact"/>
        <w:ind w:firstLine="640" w:firstLineChars="200"/>
        <w:rPr>
          <w:rFonts w:ascii="仿宋_GB2312" w:hAnsi="Times New Roman" w:eastAsia="仿宋_GB2312"/>
          <w:kern w:val="0"/>
          <w:sz w:val="32"/>
          <w:szCs w:val="32"/>
          <w:highlight w:val="none"/>
        </w:rPr>
      </w:pPr>
      <w:r>
        <w:rPr>
          <w:rFonts w:hint="eastAsia" w:ascii="仿宋_GB2312" w:hAnsi="Times New Roman" w:eastAsia="仿宋_GB2312"/>
          <w:kern w:val="0"/>
          <w:sz w:val="32"/>
          <w:szCs w:val="32"/>
          <w:highlight w:val="none"/>
        </w:rPr>
        <w:t>8.经区产促会认定的其他重点企业。</w:t>
      </w:r>
    </w:p>
    <w:p>
      <w:pPr>
        <w:pStyle w:val="2"/>
        <w:spacing w:beforeLines="0" w:afterLines="0"/>
        <w:rPr>
          <w:highlight w:val="none"/>
        </w:rPr>
      </w:pPr>
      <w:r>
        <w:rPr>
          <w:rFonts w:hint="eastAsia"/>
          <w:highlight w:val="none"/>
        </w:rPr>
        <w:t>第二章  资金管理</w:t>
      </w:r>
    </w:p>
    <w:p>
      <w:pPr>
        <w:numPr>
          <w:ilvl w:val="0"/>
          <w:numId w:val="1"/>
        </w:numPr>
        <w:adjustRightInd w:val="0"/>
        <w:snapToGrid w:val="0"/>
        <w:spacing w:line="600" w:lineRule="exact"/>
        <w:ind w:left="0" w:firstLine="640" w:firstLineChars="200"/>
        <w:rPr>
          <w:rFonts w:ascii="仿宋_GB2312" w:hAnsi="Times New Roman" w:eastAsia="仿宋_GB2312"/>
          <w:kern w:val="0"/>
          <w:sz w:val="32"/>
          <w:szCs w:val="32"/>
          <w:highlight w:val="none"/>
        </w:rPr>
      </w:pPr>
      <w:r>
        <w:rPr>
          <w:rFonts w:hint="eastAsia" w:ascii="仿宋_GB2312" w:hAnsi="Times New Roman" w:eastAsia="仿宋_GB2312"/>
          <w:kern w:val="0"/>
          <w:sz w:val="32"/>
          <w:szCs w:val="32"/>
          <w:highlight w:val="none"/>
        </w:rPr>
        <w:t>奖励资金的管理使用由区产促办会同区财政局，按照职责明确、管理科学、协调配合、强化监督的运作机制共同负责。区财政局负责奖励资金的预算安排及资金的复审和拨付；区产促办牵头建立跨部门的协调联动机制，负责资金审核，确保资金错位支持、领域互补，避免多头支持和重复支持。</w:t>
      </w:r>
    </w:p>
    <w:p>
      <w:pPr>
        <w:numPr>
          <w:ilvl w:val="0"/>
          <w:numId w:val="1"/>
        </w:numPr>
        <w:adjustRightInd w:val="0"/>
        <w:snapToGrid w:val="0"/>
        <w:spacing w:line="600" w:lineRule="exact"/>
        <w:ind w:left="0" w:firstLine="640" w:firstLineChars="200"/>
        <w:rPr>
          <w:rFonts w:ascii="仿宋_GB2312" w:hAnsi="Times New Roman" w:eastAsia="仿宋_GB2312"/>
          <w:kern w:val="0"/>
          <w:sz w:val="32"/>
          <w:szCs w:val="32"/>
          <w:highlight w:val="none"/>
        </w:rPr>
      </w:pPr>
      <w:r>
        <w:rPr>
          <w:rFonts w:hint="eastAsia" w:ascii="仿宋_GB2312" w:hAnsi="Times New Roman" w:eastAsia="仿宋_GB2312"/>
          <w:kern w:val="0"/>
          <w:sz w:val="32"/>
          <w:szCs w:val="32"/>
          <w:highlight w:val="none"/>
        </w:rPr>
        <w:t>申报主体可同时申请国家、北京市、通州区的奖励政策。申报主体享受国家、北京市出台的需由区财政资金配套的</w:t>
      </w:r>
      <w:r>
        <w:rPr>
          <w:rFonts w:ascii="仿宋_GB2312" w:hAnsi="Times New Roman" w:eastAsia="仿宋_GB2312"/>
          <w:kern w:val="0"/>
          <w:sz w:val="32"/>
          <w:szCs w:val="32"/>
          <w:highlight w:val="none"/>
        </w:rPr>
        <w:t>政策时</w:t>
      </w:r>
      <w:r>
        <w:rPr>
          <w:rFonts w:hint="eastAsia" w:ascii="仿宋_GB2312" w:hAnsi="Times New Roman" w:eastAsia="仿宋_GB2312"/>
          <w:kern w:val="0"/>
          <w:sz w:val="32"/>
          <w:szCs w:val="32"/>
          <w:highlight w:val="none"/>
        </w:rPr>
        <w:t>，</w:t>
      </w:r>
      <w:r>
        <w:rPr>
          <w:rFonts w:ascii="仿宋_GB2312" w:hAnsi="Times New Roman" w:eastAsia="仿宋_GB2312"/>
          <w:kern w:val="0"/>
          <w:sz w:val="32"/>
          <w:szCs w:val="32"/>
          <w:highlight w:val="none"/>
        </w:rPr>
        <w:t>本</w:t>
      </w:r>
      <w:r>
        <w:rPr>
          <w:rFonts w:hint="eastAsia" w:ascii="仿宋_GB2312" w:hAnsi="Times New Roman" w:eastAsia="仿宋_GB2312"/>
          <w:kern w:val="0"/>
          <w:sz w:val="32"/>
          <w:szCs w:val="32"/>
          <w:highlight w:val="none"/>
        </w:rPr>
        <w:t>奖励</w:t>
      </w:r>
      <w:r>
        <w:rPr>
          <w:rFonts w:ascii="仿宋_GB2312" w:hAnsi="Times New Roman" w:eastAsia="仿宋_GB2312"/>
          <w:kern w:val="0"/>
          <w:sz w:val="32"/>
          <w:szCs w:val="32"/>
          <w:highlight w:val="none"/>
        </w:rPr>
        <w:t>资金视同配套。</w:t>
      </w:r>
    </w:p>
    <w:p>
      <w:pPr>
        <w:numPr>
          <w:ilvl w:val="0"/>
          <w:numId w:val="1"/>
        </w:numPr>
        <w:adjustRightInd w:val="0"/>
        <w:snapToGrid w:val="0"/>
        <w:spacing w:line="600" w:lineRule="exact"/>
        <w:ind w:left="0"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奖励资金的发放应符合以下要求：</w:t>
      </w:r>
    </w:p>
    <w:p>
      <w:pPr>
        <w:adjustRightInd w:val="0"/>
        <w:snapToGrid w:val="0"/>
        <w:spacing w:line="60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（一）获得一次性发放奖励或补贴的申报主体，在本办法实施期限内形成的区域综合贡献1000万元以上部分的70%应不少于所获得的奖励、补贴金额，否则不得申请通州区其他财政扶持政策。</w:t>
      </w:r>
    </w:p>
    <w:p>
      <w:pPr>
        <w:adjustRightInd w:val="0"/>
        <w:snapToGrid w:val="0"/>
        <w:spacing w:line="600" w:lineRule="exact"/>
        <w:ind w:firstLine="640" w:firstLineChars="200"/>
        <w:rPr>
          <w:rFonts w:ascii="仿宋_GB2312" w:hAnsi="仿宋" w:eastAsia="仿宋_GB2312"/>
          <w:sz w:val="32"/>
          <w:szCs w:val="32"/>
          <w:highlight w:val="none"/>
        </w:rPr>
      </w:pPr>
      <w:bookmarkStart w:id="4" w:name="_Hlk28046899"/>
      <w:r>
        <w:rPr>
          <w:rFonts w:hint="eastAsia" w:ascii="仿宋_GB2312" w:hAnsi="仿宋" w:eastAsia="仿宋_GB2312"/>
          <w:sz w:val="32"/>
          <w:szCs w:val="32"/>
          <w:highlight w:val="none"/>
        </w:rPr>
        <w:t>（二）对分次获得奖励的申报主体，除符合相应的标准外，原则上三年内形成的区域综合贡献1000万元以上部分的70%应不少于累次所获得奖励的总金额，否则不得申请后续奖励及通州区其他财政扶持政策。</w:t>
      </w:r>
      <w:bookmarkEnd w:id="4"/>
    </w:p>
    <w:p>
      <w:pPr>
        <w:numPr>
          <w:ilvl w:val="0"/>
          <w:numId w:val="1"/>
        </w:numPr>
        <w:adjustRightInd w:val="0"/>
        <w:snapToGrid w:val="0"/>
        <w:spacing w:line="600" w:lineRule="exact"/>
        <w:ind w:left="0" w:firstLine="640" w:firstLineChars="200"/>
        <w:rPr>
          <w:rFonts w:ascii="仿宋_GB2312" w:hAnsi="Times New Roman" w:eastAsia="仿宋_GB2312"/>
          <w:kern w:val="0"/>
          <w:sz w:val="32"/>
          <w:szCs w:val="32"/>
          <w:highlight w:val="none"/>
        </w:rPr>
      </w:pPr>
      <w:r>
        <w:rPr>
          <w:rFonts w:hint="eastAsia" w:ascii="仿宋_GB2312" w:hAnsi="Times New Roman" w:eastAsia="仿宋_GB2312"/>
          <w:kern w:val="0"/>
          <w:sz w:val="32"/>
          <w:szCs w:val="32"/>
          <w:highlight w:val="none"/>
        </w:rPr>
        <w:t>奖励资金专款专用，各部门不得以任何理由截留、挤占或挪用，严格按照国家有关规定进行账务处理，并与市场监管局、税务、统计、财政等部门建立联动机制，对</w:t>
      </w:r>
      <w:r>
        <w:rPr>
          <w:rFonts w:ascii="仿宋_GB2312" w:hAnsi="Times New Roman" w:eastAsia="仿宋_GB2312"/>
          <w:kern w:val="0"/>
          <w:sz w:val="32"/>
          <w:szCs w:val="32"/>
          <w:highlight w:val="none"/>
        </w:rPr>
        <w:t>资金的使用情况</w:t>
      </w:r>
      <w:r>
        <w:rPr>
          <w:rFonts w:hint="eastAsia" w:ascii="仿宋_GB2312" w:hAnsi="Times New Roman" w:eastAsia="仿宋_GB2312"/>
          <w:kern w:val="0"/>
          <w:sz w:val="32"/>
          <w:szCs w:val="32"/>
          <w:highlight w:val="none"/>
        </w:rPr>
        <w:t>进行协同</w:t>
      </w:r>
      <w:r>
        <w:rPr>
          <w:rFonts w:ascii="仿宋_GB2312" w:hAnsi="Times New Roman" w:eastAsia="仿宋_GB2312"/>
          <w:kern w:val="0"/>
          <w:sz w:val="32"/>
          <w:szCs w:val="32"/>
          <w:highlight w:val="none"/>
        </w:rPr>
        <w:t>监管。</w:t>
      </w:r>
    </w:p>
    <w:p>
      <w:pPr>
        <w:numPr>
          <w:ilvl w:val="0"/>
          <w:numId w:val="1"/>
        </w:numPr>
        <w:adjustRightInd w:val="0"/>
        <w:snapToGrid w:val="0"/>
        <w:spacing w:line="600" w:lineRule="exact"/>
        <w:ind w:left="0" w:firstLine="640" w:firstLineChars="200"/>
        <w:rPr>
          <w:rFonts w:ascii="仿宋_GB2312" w:hAnsi="Times New Roman" w:eastAsia="仿宋_GB2312"/>
          <w:kern w:val="0"/>
          <w:sz w:val="32"/>
          <w:szCs w:val="32"/>
          <w:highlight w:val="none"/>
        </w:rPr>
      </w:pPr>
      <w:r>
        <w:rPr>
          <w:rFonts w:ascii="仿宋_GB2312" w:hAnsi="Times New Roman" w:eastAsia="仿宋_GB2312"/>
          <w:kern w:val="0"/>
          <w:sz w:val="32"/>
          <w:szCs w:val="32"/>
          <w:highlight w:val="none"/>
        </w:rPr>
        <w:t>对</w:t>
      </w:r>
      <w:r>
        <w:rPr>
          <w:rFonts w:hint="eastAsia" w:ascii="仿宋_GB2312" w:hAnsi="Times New Roman" w:eastAsia="仿宋_GB2312"/>
          <w:kern w:val="0"/>
          <w:sz w:val="32"/>
          <w:szCs w:val="32"/>
          <w:highlight w:val="none"/>
        </w:rPr>
        <w:t>通州区</w:t>
      </w:r>
      <w:r>
        <w:rPr>
          <w:rFonts w:ascii="仿宋_GB2312" w:hAnsi="Times New Roman" w:eastAsia="仿宋_GB2312"/>
          <w:kern w:val="0"/>
          <w:sz w:val="32"/>
          <w:szCs w:val="32"/>
          <w:highlight w:val="none"/>
        </w:rPr>
        <w:t>产业发展引领作用大，经济效益高、社会效益强的企业可采取"一事一议"的方式给予支持</w:t>
      </w:r>
      <w:r>
        <w:rPr>
          <w:rFonts w:hint="eastAsia" w:ascii="仿宋_GB2312" w:hAnsi="Times New Roman" w:eastAsia="仿宋_GB2312"/>
          <w:kern w:val="0"/>
          <w:sz w:val="32"/>
          <w:szCs w:val="32"/>
          <w:highlight w:val="none"/>
        </w:rPr>
        <w:t>，由重点企业落地服务保障联席会议讨论确定。</w:t>
      </w:r>
    </w:p>
    <w:p>
      <w:pPr>
        <w:pStyle w:val="2"/>
        <w:spacing w:beforeLines="0" w:afterLines="0"/>
        <w:rPr>
          <w:highlight w:val="none"/>
        </w:rPr>
      </w:pPr>
      <w:r>
        <w:rPr>
          <w:rFonts w:hint="eastAsia"/>
          <w:highlight w:val="none"/>
        </w:rPr>
        <w:t>第三章  扶持方式和标准</w:t>
      </w:r>
    </w:p>
    <w:p>
      <w:pPr>
        <w:numPr>
          <w:ilvl w:val="0"/>
          <w:numId w:val="1"/>
        </w:numPr>
        <w:adjustRightInd w:val="0"/>
        <w:snapToGrid w:val="0"/>
        <w:spacing w:line="600" w:lineRule="exact"/>
        <w:ind w:left="0" w:firstLine="640" w:firstLineChars="200"/>
        <w:rPr>
          <w:rFonts w:ascii="仿宋_GB2312" w:hAnsi="Times New Roman" w:eastAsia="仿宋_GB2312"/>
          <w:kern w:val="0"/>
          <w:sz w:val="32"/>
          <w:szCs w:val="32"/>
          <w:highlight w:val="none"/>
        </w:rPr>
      </w:pPr>
      <w:r>
        <w:rPr>
          <w:rFonts w:hint="eastAsia" w:ascii="仿宋_GB2312" w:hAnsi="Times New Roman" w:eastAsia="仿宋_GB2312"/>
          <w:kern w:val="0"/>
          <w:sz w:val="32"/>
          <w:szCs w:val="32"/>
          <w:highlight w:val="none"/>
        </w:rPr>
        <w:t>入驻奖励</w:t>
      </w:r>
    </w:p>
    <w:p>
      <w:pPr>
        <w:spacing w:line="600" w:lineRule="exact"/>
        <w:ind w:firstLine="640" w:firstLineChars="200"/>
        <w:rPr>
          <w:rFonts w:ascii="楷体_GB2312" w:eastAsia="楷体_GB2312" w:hAnsiTheme="minorHAnsi" w:cstheme="minorBidi"/>
          <w:sz w:val="32"/>
          <w:szCs w:val="32"/>
          <w:highlight w:val="none"/>
        </w:rPr>
      </w:pPr>
      <w:r>
        <w:rPr>
          <w:rFonts w:hint="eastAsia" w:ascii="楷体_GB2312" w:eastAsia="楷体_GB2312" w:hAnsiTheme="minorHAnsi" w:cstheme="minorBidi"/>
          <w:sz w:val="32"/>
          <w:szCs w:val="32"/>
          <w:highlight w:val="none"/>
        </w:rPr>
        <w:t>（一）金融机构</w:t>
      </w:r>
    </w:p>
    <w:p>
      <w:pPr>
        <w:adjustRightInd w:val="0"/>
        <w:snapToGrid w:val="0"/>
        <w:spacing w:line="60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 xml:space="preserve">1. </w:t>
      </w:r>
      <w:r>
        <w:rPr>
          <w:rFonts w:ascii="仿宋_GB2312" w:hAnsi="黑体" w:eastAsia="仿宋_GB2312"/>
          <w:sz w:val="32"/>
          <w:szCs w:val="32"/>
          <w:highlight w:val="none"/>
        </w:rPr>
        <w:t>对新</w:t>
      </w:r>
      <w:r>
        <w:rPr>
          <w:rFonts w:hint="eastAsia" w:ascii="仿宋_GB2312" w:hAnsi="黑体" w:eastAsia="仿宋_GB2312"/>
          <w:sz w:val="32"/>
          <w:szCs w:val="32"/>
          <w:highlight w:val="none"/>
        </w:rPr>
        <w:t>设立</w:t>
      </w:r>
      <w:r>
        <w:rPr>
          <w:rFonts w:ascii="仿宋_GB2312" w:hAnsi="黑体" w:eastAsia="仿宋_GB2312"/>
          <w:sz w:val="32"/>
          <w:szCs w:val="32"/>
          <w:highlight w:val="none"/>
        </w:rPr>
        <w:t>或新迁入</w:t>
      </w:r>
      <w:r>
        <w:rPr>
          <w:rFonts w:hint="eastAsia" w:ascii="仿宋_GB2312" w:hAnsi="黑体" w:eastAsia="仿宋_GB2312"/>
          <w:sz w:val="32"/>
          <w:szCs w:val="32"/>
          <w:highlight w:val="none"/>
        </w:rPr>
        <w:t>的符合副中心功能定位的</w:t>
      </w:r>
      <w:r>
        <w:rPr>
          <w:rFonts w:ascii="仿宋_GB2312" w:hAnsi="黑体" w:eastAsia="仿宋_GB2312"/>
          <w:sz w:val="32"/>
          <w:szCs w:val="32"/>
          <w:highlight w:val="none"/>
        </w:rPr>
        <w:t>法人金融机构</w:t>
      </w:r>
      <w:r>
        <w:rPr>
          <w:rFonts w:hint="eastAsia" w:ascii="仿宋_GB2312" w:hAnsi="黑体" w:eastAsia="仿宋_GB2312"/>
          <w:sz w:val="32"/>
          <w:szCs w:val="32"/>
          <w:highlight w:val="none"/>
        </w:rPr>
        <w:t>，按实收资本规模</w:t>
      </w:r>
      <w:r>
        <w:rPr>
          <w:rFonts w:hint="eastAsia" w:ascii="仿宋_GB2312" w:hAnsi="黑体" w:eastAsia="仿宋_GB2312"/>
          <w:sz w:val="32"/>
          <w:szCs w:val="32"/>
          <w:highlight w:val="none"/>
          <w:lang w:eastAsia="zh-CN"/>
        </w:rPr>
        <w:t>进行分档</w:t>
      </w:r>
      <w:r>
        <w:rPr>
          <w:rFonts w:hint="eastAsia" w:ascii="仿宋_GB2312" w:hAnsi="黑体" w:eastAsia="仿宋_GB2312"/>
          <w:sz w:val="32"/>
          <w:szCs w:val="32"/>
          <w:highlight w:val="none"/>
        </w:rPr>
        <w:t>奖励。</w:t>
      </w:r>
    </w:p>
    <w:p>
      <w:pPr>
        <w:adjustRightInd w:val="0"/>
        <w:snapToGrid w:val="0"/>
        <w:spacing w:line="600" w:lineRule="exact"/>
        <w:ind w:firstLine="640" w:firstLineChars="200"/>
        <w:rPr>
          <w:rFonts w:ascii="仿宋_GB2312" w:hAnsi="黑体" w:eastAsia="仿宋_GB2312"/>
          <w:sz w:val="32"/>
          <w:szCs w:val="32"/>
          <w:highlight w:val="none"/>
        </w:rPr>
      </w:pPr>
      <w:bookmarkStart w:id="5" w:name="_Hlk28047069"/>
      <w:r>
        <w:rPr>
          <w:rFonts w:hint="eastAsia" w:ascii="仿宋_GB2312" w:hAnsi="黑体" w:eastAsia="仿宋_GB2312"/>
          <w:sz w:val="32"/>
          <w:szCs w:val="32"/>
          <w:highlight w:val="none"/>
        </w:rPr>
        <w:t>2. 奖励资金分三年发放，落户当年发放入驻奖励总额的60%，落户后第一、二个完整会计年度根据其区域综合贡献给予相应的奖励。</w:t>
      </w:r>
    </w:p>
    <w:p>
      <w:pPr>
        <w:adjustRightInd w:val="0"/>
        <w:snapToGrid w:val="0"/>
        <w:spacing w:line="600" w:lineRule="exact"/>
        <w:ind w:firstLine="640" w:firstLineChars="200"/>
        <w:rPr>
          <w:rFonts w:ascii="仿宋_GB2312" w:hAnsi="黑体" w:eastAsia="仿宋_GB2312"/>
          <w:sz w:val="32"/>
          <w:szCs w:val="32"/>
          <w:highlight w:val="none"/>
        </w:rPr>
      </w:pPr>
      <w:r>
        <w:rPr>
          <w:rFonts w:hint="eastAsia" w:ascii="仿宋_GB2312" w:hAnsi="黑体" w:eastAsia="仿宋_GB2312"/>
          <w:kern w:val="0"/>
          <w:sz w:val="32"/>
          <w:szCs w:val="32"/>
          <w:highlight w:val="none"/>
        </w:rPr>
        <w:t>3.对</w:t>
      </w:r>
      <w:r>
        <w:rPr>
          <w:rFonts w:hint="eastAsia" w:ascii="仿宋_GB2312" w:hAnsi="黑体" w:eastAsia="仿宋_GB2312"/>
          <w:sz w:val="32"/>
          <w:szCs w:val="32"/>
          <w:highlight w:val="none"/>
        </w:rPr>
        <w:t>新设立或新迁入的</w:t>
      </w:r>
      <w:r>
        <w:rPr>
          <w:rFonts w:hint="eastAsia" w:ascii="仿宋_GB2312" w:hAnsi="黑体" w:eastAsia="仿宋_GB2312"/>
          <w:kern w:val="0"/>
          <w:sz w:val="32"/>
          <w:szCs w:val="32"/>
          <w:highlight w:val="none"/>
        </w:rPr>
        <w:t>符合副中心功能定位的金融机构，也可按照《北京城市副中心促进金融业发展的若干措施》奖励扶持，从优不重复。</w:t>
      </w:r>
    </w:p>
    <w:bookmarkEnd w:id="5"/>
    <w:p>
      <w:pPr>
        <w:spacing w:line="600" w:lineRule="exact"/>
        <w:ind w:firstLine="640" w:firstLineChars="200"/>
        <w:rPr>
          <w:rFonts w:ascii="楷体_GB2312" w:eastAsia="楷体_GB2312" w:hAnsiTheme="minorHAnsi" w:cstheme="minorBidi"/>
          <w:sz w:val="32"/>
          <w:szCs w:val="32"/>
          <w:highlight w:val="none"/>
        </w:rPr>
      </w:pPr>
      <w:r>
        <w:rPr>
          <w:rFonts w:hint="eastAsia" w:ascii="楷体_GB2312" w:eastAsia="楷体_GB2312" w:hAnsiTheme="minorHAnsi" w:cstheme="minorBidi"/>
          <w:sz w:val="32"/>
          <w:szCs w:val="32"/>
          <w:highlight w:val="none"/>
        </w:rPr>
        <w:t>（二）总部企业</w:t>
      </w:r>
    </w:p>
    <w:p>
      <w:pPr>
        <w:spacing w:line="60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1. 对新迁入的总部企业，按实收资本规模</w:t>
      </w:r>
      <w:r>
        <w:rPr>
          <w:rFonts w:hint="eastAsia" w:ascii="仿宋_GB2312" w:hAnsi="黑体" w:eastAsia="仿宋_GB2312"/>
          <w:sz w:val="32"/>
          <w:szCs w:val="32"/>
          <w:highlight w:val="none"/>
          <w:lang w:eastAsia="zh-CN"/>
        </w:rPr>
        <w:t>进行分档</w:t>
      </w:r>
      <w:r>
        <w:rPr>
          <w:rFonts w:hint="eastAsia" w:ascii="仿宋_GB2312" w:hAnsi="黑体" w:eastAsia="仿宋_GB2312"/>
          <w:sz w:val="32"/>
          <w:szCs w:val="32"/>
          <w:highlight w:val="none"/>
        </w:rPr>
        <w:t>奖励</w:t>
      </w:r>
      <w:r>
        <w:rPr>
          <w:rFonts w:ascii="仿宋_GB2312" w:hAnsi="黑体" w:eastAsia="仿宋_GB2312"/>
          <w:sz w:val="32"/>
          <w:szCs w:val="32"/>
          <w:highlight w:val="none"/>
        </w:rPr>
        <w:t>。</w:t>
      </w:r>
    </w:p>
    <w:p>
      <w:pPr>
        <w:adjustRightInd w:val="0"/>
        <w:snapToGrid w:val="0"/>
        <w:spacing w:line="60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 奖励资金分三年发放，落户当年发放入驻奖励总额的60%，落户后第一、二个完整会计年度根据其区域综合贡献给予相应的奖励。</w:t>
      </w:r>
    </w:p>
    <w:p>
      <w:pPr>
        <w:spacing w:line="600" w:lineRule="exact"/>
        <w:ind w:firstLine="640" w:firstLineChars="200"/>
        <w:rPr>
          <w:rFonts w:ascii="楷体_GB2312" w:eastAsia="楷体_GB2312" w:hAnsiTheme="minorHAnsi" w:cstheme="minorBidi"/>
          <w:sz w:val="32"/>
          <w:szCs w:val="32"/>
          <w:highlight w:val="none"/>
        </w:rPr>
      </w:pPr>
      <w:r>
        <w:rPr>
          <w:rFonts w:hint="eastAsia" w:ascii="楷体_GB2312" w:eastAsia="楷体_GB2312" w:hAnsiTheme="minorHAnsi" w:cstheme="minorBidi"/>
          <w:sz w:val="32"/>
          <w:szCs w:val="32"/>
          <w:highlight w:val="none"/>
        </w:rPr>
        <w:t>（三）专业服务企业</w:t>
      </w:r>
    </w:p>
    <w:p>
      <w:pPr>
        <w:spacing w:line="60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对新迁入的专业服务企业，上一年度在原所在地区域综合贡献超过1000万元，</w:t>
      </w:r>
      <w:r>
        <w:rPr>
          <w:rFonts w:hint="eastAsia" w:ascii="仿宋_GB2312" w:hAnsi="黑体" w:eastAsia="仿宋_GB2312"/>
          <w:sz w:val="32"/>
          <w:szCs w:val="32"/>
          <w:highlight w:val="none"/>
          <w:lang w:eastAsia="zh-CN"/>
        </w:rPr>
        <w:t>进行</w:t>
      </w:r>
      <w:r>
        <w:rPr>
          <w:rFonts w:hint="eastAsia" w:ascii="仿宋_GB2312" w:hAnsi="黑体" w:eastAsia="仿宋_GB2312"/>
          <w:sz w:val="32"/>
          <w:szCs w:val="32"/>
          <w:highlight w:val="none"/>
        </w:rPr>
        <w:t>一次性奖励。</w:t>
      </w:r>
    </w:p>
    <w:p>
      <w:pPr>
        <w:spacing w:line="600" w:lineRule="exact"/>
        <w:ind w:firstLine="640" w:firstLineChars="200"/>
        <w:rPr>
          <w:rFonts w:ascii="楷体_GB2312" w:eastAsia="楷体_GB2312" w:hAnsiTheme="minorHAnsi" w:cstheme="minorBidi"/>
          <w:sz w:val="32"/>
          <w:szCs w:val="32"/>
          <w:highlight w:val="none"/>
        </w:rPr>
      </w:pPr>
      <w:r>
        <w:rPr>
          <w:rFonts w:hint="eastAsia" w:ascii="楷体_GB2312" w:eastAsia="楷体_GB2312" w:hAnsiTheme="minorHAnsi" w:cstheme="minorBidi"/>
          <w:sz w:val="32"/>
          <w:szCs w:val="32"/>
          <w:highlight w:val="none"/>
        </w:rPr>
        <w:t>（四）独角兽企业</w:t>
      </w:r>
    </w:p>
    <w:p>
      <w:pPr>
        <w:adjustRightInd w:val="0"/>
        <w:snapToGrid w:val="0"/>
        <w:spacing w:line="60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对新迁入的列入各类权威机构发布的“独角兽榜单”的企业，</w:t>
      </w:r>
      <w:r>
        <w:rPr>
          <w:rFonts w:hint="eastAsia" w:ascii="仿宋_GB2312" w:hAnsi="黑体" w:eastAsia="仿宋_GB2312"/>
          <w:sz w:val="32"/>
          <w:szCs w:val="32"/>
          <w:highlight w:val="none"/>
          <w:lang w:eastAsia="zh-CN"/>
        </w:rPr>
        <w:t>进行</w:t>
      </w:r>
      <w:r>
        <w:rPr>
          <w:rFonts w:hint="eastAsia" w:ascii="仿宋_GB2312" w:hAnsi="黑体" w:eastAsia="仿宋_GB2312"/>
          <w:sz w:val="32"/>
          <w:szCs w:val="32"/>
          <w:highlight w:val="none"/>
        </w:rPr>
        <w:t>一次性奖励。</w:t>
      </w:r>
    </w:p>
    <w:p>
      <w:pPr>
        <w:spacing w:line="600" w:lineRule="exact"/>
        <w:ind w:firstLine="640" w:firstLineChars="200"/>
        <w:rPr>
          <w:rFonts w:ascii="楷体_GB2312" w:eastAsia="楷体_GB2312" w:hAnsiTheme="minorHAnsi" w:cstheme="minorBidi"/>
          <w:sz w:val="32"/>
          <w:szCs w:val="32"/>
          <w:highlight w:val="none"/>
        </w:rPr>
      </w:pPr>
      <w:r>
        <w:rPr>
          <w:rFonts w:hint="eastAsia" w:ascii="楷体_GB2312" w:eastAsia="楷体_GB2312" w:hAnsiTheme="minorHAnsi" w:cstheme="minorBidi"/>
          <w:sz w:val="32"/>
          <w:szCs w:val="32"/>
          <w:highlight w:val="none"/>
        </w:rPr>
        <w:t>（五）上市公司</w:t>
      </w:r>
    </w:p>
    <w:p>
      <w:pPr>
        <w:adjustRightInd w:val="0"/>
        <w:snapToGrid w:val="0"/>
        <w:spacing w:line="600" w:lineRule="exact"/>
        <w:ind w:firstLine="640" w:firstLineChars="200"/>
        <w:rPr>
          <w:rFonts w:ascii="仿宋_GB2312" w:hAnsi="Times New Roman" w:eastAsia="仿宋_GB2312"/>
          <w:kern w:val="0"/>
          <w:sz w:val="32"/>
          <w:szCs w:val="32"/>
          <w:highlight w:val="none"/>
        </w:rPr>
      </w:pPr>
      <w:r>
        <w:rPr>
          <w:rFonts w:hint="eastAsia" w:ascii="仿宋_GB2312" w:hAnsi="Times New Roman" w:eastAsia="仿宋_GB2312"/>
          <w:kern w:val="0"/>
          <w:sz w:val="32"/>
          <w:szCs w:val="32"/>
          <w:highlight w:val="none"/>
        </w:rPr>
        <w:t>区外注册的主板、中小板、创业板、科创板上市公司，新三板创新层挂牌的公司，连续三年盈利且将上市公司总部工商注册地、纳税地迁入通州区的，对主板上市公司</w:t>
      </w:r>
      <w:r>
        <w:rPr>
          <w:rFonts w:hint="eastAsia" w:ascii="仿宋_GB2312" w:hAnsi="Times New Roman" w:eastAsia="仿宋_GB2312"/>
          <w:kern w:val="0"/>
          <w:sz w:val="32"/>
          <w:szCs w:val="32"/>
          <w:highlight w:val="none"/>
          <w:lang w:eastAsia="zh-CN"/>
        </w:rPr>
        <w:t>、</w:t>
      </w:r>
      <w:r>
        <w:rPr>
          <w:rFonts w:hint="eastAsia" w:ascii="仿宋_GB2312" w:hAnsi="Times New Roman" w:eastAsia="仿宋_GB2312"/>
          <w:kern w:val="0"/>
          <w:sz w:val="32"/>
          <w:szCs w:val="32"/>
          <w:highlight w:val="none"/>
        </w:rPr>
        <w:t>中小板上市公司</w:t>
      </w:r>
      <w:r>
        <w:rPr>
          <w:rFonts w:hint="eastAsia" w:ascii="仿宋_GB2312" w:hAnsi="Times New Roman" w:eastAsia="仿宋_GB2312"/>
          <w:kern w:val="0"/>
          <w:sz w:val="32"/>
          <w:szCs w:val="32"/>
          <w:highlight w:val="none"/>
          <w:lang w:eastAsia="zh-CN"/>
        </w:rPr>
        <w:t>、</w:t>
      </w:r>
      <w:r>
        <w:rPr>
          <w:rFonts w:hint="eastAsia" w:ascii="仿宋_GB2312" w:hAnsi="Times New Roman" w:eastAsia="仿宋_GB2312"/>
          <w:kern w:val="0"/>
          <w:sz w:val="32"/>
          <w:szCs w:val="32"/>
          <w:highlight w:val="none"/>
        </w:rPr>
        <w:t>创业板上市公司</w:t>
      </w:r>
      <w:r>
        <w:rPr>
          <w:rFonts w:hint="eastAsia" w:ascii="仿宋_GB2312" w:hAnsi="Times New Roman" w:eastAsia="仿宋_GB2312"/>
          <w:kern w:val="0"/>
          <w:sz w:val="32"/>
          <w:szCs w:val="32"/>
          <w:highlight w:val="none"/>
          <w:lang w:eastAsia="zh-CN"/>
        </w:rPr>
        <w:t>、</w:t>
      </w:r>
      <w:r>
        <w:rPr>
          <w:rFonts w:hint="eastAsia" w:ascii="仿宋_GB2312" w:hAnsi="Times New Roman" w:eastAsia="仿宋_GB2312"/>
          <w:kern w:val="0"/>
          <w:sz w:val="32"/>
          <w:szCs w:val="32"/>
          <w:highlight w:val="none"/>
        </w:rPr>
        <w:t>科创板上市公司</w:t>
      </w:r>
      <w:r>
        <w:rPr>
          <w:rFonts w:hint="eastAsia" w:ascii="仿宋_GB2312" w:hAnsi="Times New Roman" w:eastAsia="仿宋_GB2312"/>
          <w:kern w:val="0"/>
          <w:sz w:val="32"/>
          <w:szCs w:val="32"/>
          <w:highlight w:val="none"/>
          <w:lang w:eastAsia="zh-CN"/>
        </w:rPr>
        <w:t>、</w:t>
      </w:r>
      <w:r>
        <w:rPr>
          <w:rFonts w:hint="eastAsia" w:ascii="仿宋_GB2312" w:hAnsi="Times New Roman" w:eastAsia="仿宋_GB2312"/>
          <w:kern w:val="0"/>
          <w:sz w:val="32"/>
          <w:szCs w:val="32"/>
          <w:highlight w:val="none"/>
        </w:rPr>
        <w:t>新三板创新层挂牌公司</w:t>
      </w:r>
      <w:r>
        <w:rPr>
          <w:rFonts w:hint="eastAsia" w:ascii="仿宋_GB2312" w:hAnsi="Times New Roman" w:eastAsia="仿宋_GB2312"/>
          <w:kern w:val="0"/>
          <w:sz w:val="32"/>
          <w:szCs w:val="32"/>
          <w:highlight w:val="none"/>
          <w:lang w:eastAsia="zh-CN"/>
        </w:rPr>
        <w:t>进行</w:t>
      </w:r>
      <w:r>
        <w:rPr>
          <w:rFonts w:hint="eastAsia" w:ascii="仿宋_GB2312" w:hAnsi="Times New Roman" w:eastAsia="仿宋_GB2312"/>
          <w:kern w:val="0"/>
          <w:sz w:val="32"/>
          <w:szCs w:val="32"/>
          <w:highlight w:val="none"/>
        </w:rPr>
        <w:t>一次性</w:t>
      </w:r>
      <w:r>
        <w:rPr>
          <w:rFonts w:hint="eastAsia" w:ascii="仿宋_GB2312" w:hAnsi="Times New Roman" w:eastAsia="仿宋_GB2312"/>
          <w:kern w:val="0"/>
          <w:sz w:val="32"/>
          <w:szCs w:val="32"/>
          <w:highlight w:val="none"/>
          <w:lang w:eastAsia="zh-CN"/>
        </w:rPr>
        <w:t>奖励</w:t>
      </w:r>
      <w:r>
        <w:rPr>
          <w:rFonts w:hint="eastAsia" w:ascii="仿宋_GB2312" w:hAnsi="Times New Roman" w:eastAsia="仿宋_GB2312"/>
          <w:kern w:val="0"/>
          <w:sz w:val="32"/>
          <w:szCs w:val="32"/>
          <w:highlight w:val="none"/>
        </w:rPr>
        <w:t>。</w:t>
      </w:r>
    </w:p>
    <w:p>
      <w:pPr>
        <w:spacing w:line="600" w:lineRule="exact"/>
        <w:ind w:firstLine="640" w:firstLineChars="200"/>
        <w:rPr>
          <w:rFonts w:ascii="楷体_GB2312" w:eastAsia="楷体_GB2312" w:hAnsiTheme="minorHAnsi" w:cstheme="minorBidi"/>
          <w:sz w:val="32"/>
          <w:szCs w:val="32"/>
          <w:highlight w:val="none"/>
        </w:rPr>
      </w:pPr>
      <w:r>
        <w:rPr>
          <w:rFonts w:hint="eastAsia" w:ascii="楷体_GB2312" w:eastAsia="楷体_GB2312" w:hAnsiTheme="minorHAnsi" w:cstheme="minorBidi"/>
          <w:sz w:val="32"/>
          <w:szCs w:val="32"/>
          <w:highlight w:val="none"/>
        </w:rPr>
        <w:t>（六）国家高新技术企业</w:t>
      </w:r>
    </w:p>
    <w:p>
      <w:pPr>
        <w:adjustRightInd w:val="0"/>
        <w:snapToGrid w:val="0"/>
        <w:spacing w:line="60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对新迁入的符合城市副中心功能定位的国家高新技术企业，</w:t>
      </w:r>
      <w:r>
        <w:rPr>
          <w:rFonts w:hint="eastAsia" w:ascii="仿宋_GB2312" w:hAnsi="黑体" w:eastAsia="仿宋_GB2312"/>
          <w:sz w:val="32"/>
          <w:szCs w:val="32"/>
          <w:highlight w:val="none"/>
          <w:lang w:eastAsia="zh-CN"/>
        </w:rPr>
        <w:t>进行</w:t>
      </w:r>
      <w:r>
        <w:rPr>
          <w:rFonts w:hint="eastAsia" w:ascii="仿宋_GB2312" w:hAnsi="黑体" w:eastAsia="仿宋_GB2312"/>
          <w:sz w:val="32"/>
          <w:szCs w:val="32"/>
          <w:highlight w:val="none"/>
        </w:rPr>
        <w:t>一次性奖励。</w:t>
      </w:r>
    </w:p>
    <w:p>
      <w:pPr>
        <w:spacing w:line="600" w:lineRule="exact"/>
        <w:ind w:firstLine="640" w:firstLineChars="200"/>
        <w:rPr>
          <w:rFonts w:ascii="楷体_GB2312" w:eastAsia="楷体_GB2312" w:hAnsiTheme="minorHAnsi" w:cstheme="minorBidi"/>
          <w:sz w:val="32"/>
          <w:szCs w:val="32"/>
          <w:highlight w:val="none"/>
        </w:rPr>
      </w:pPr>
      <w:r>
        <w:rPr>
          <w:rFonts w:hint="eastAsia" w:ascii="楷体_GB2312" w:eastAsia="楷体_GB2312" w:hAnsiTheme="minorHAnsi" w:cstheme="minorBidi"/>
          <w:sz w:val="32"/>
          <w:szCs w:val="32"/>
          <w:highlight w:val="none"/>
        </w:rPr>
        <w:t>（七）高质量迁入企业</w:t>
      </w:r>
    </w:p>
    <w:p>
      <w:pPr>
        <w:adjustRightInd w:val="0"/>
        <w:snapToGrid w:val="0"/>
        <w:spacing w:line="60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对不属于第（一）-（六）款范畴，但近三年在原所在地区域综合贡献均值不低于2000万元，且符合城市副中心功能定位的新迁入企业，</w:t>
      </w:r>
      <w:r>
        <w:rPr>
          <w:rFonts w:hint="eastAsia" w:ascii="仿宋_GB2312" w:hAnsi="黑体" w:eastAsia="仿宋_GB2312"/>
          <w:sz w:val="32"/>
          <w:szCs w:val="32"/>
          <w:highlight w:val="none"/>
          <w:lang w:eastAsia="zh-CN"/>
        </w:rPr>
        <w:t>进行</w:t>
      </w:r>
      <w:r>
        <w:rPr>
          <w:rFonts w:hint="eastAsia" w:ascii="仿宋_GB2312" w:hAnsi="黑体" w:eastAsia="仿宋_GB2312"/>
          <w:sz w:val="32"/>
          <w:szCs w:val="32"/>
          <w:highlight w:val="none"/>
        </w:rPr>
        <w:t>一次性奖励。</w:t>
      </w:r>
    </w:p>
    <w:p>
      <w:pPr>
        <w:spacing w:line="600" w:lineRule="exact"/>
        <w:ind w:firstLine="640" w:firstLineChars="200"/>
        <w:rPr>
          <w:rFonts w:ascii="楷体_GB2312" w:eastAsia="楷体_GB2312" w:hAnsiTheme="minorHAnsi" w:cstheme="minorBidi"/>
          <w:sz w:val="32"/>
          <w:szCs w:val="32"/>
          <w:highlight w:val="none"/>
        </w:rPr>
      </w:pPr>
      <w:r>
        <w:rPr>
          <w:rFonts w:hint="eastAsia" w:ascii="楷体_GB2312" w:eastAsia="楷体_GB2312" w:hAnsiTheme="minorHAnsi" w:cstheme="minorBidi"/>
          <w:sz w:val="32"/>
          <w:szCs w:val="32"/>
          <w:highlight w:val="none"/>
        </w:rPr>
        <w:t>（八）其他重点企业</w:t>
      </w:r>
    </w:p>
    <w:p>
      <w:pPr>
        <w:adjustRightInd w:val="0"/>
        <w:snapToGrid w:val="0"/>
        <w:spacing w:line="60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其他符合通州区产业发展方向，且对通州区有重大经济社会发展贡献或对产业有突出集聚引导作用的企业，经区产促会认定，可参照前述标准给予一定额度的奖励。</w:t>
      </w:r>
    </w:p>
    <w:p>
      <w:pPr>
        <w:numPr>
          <w:ilvl w:val="0"/>
          <w:numId w:val="1"/>
        </w:numPr>
        <w:adjustRightInd w:val="0"/>
        <w:snapToGrid w:val="0"/>
        <w:spacing w:line="600" w:lineRule="exact"/>
        <w:ind w:left="0" w:firstLine="640" w:firstLineChars="200"/>
        <w:rPr>
          <w:rFonts w:ascii="仿宋_GB2312" w:hAnsi="Times New Roman" w:eastAsia="仿宋_GB2312"/>
          <w:kern w:val="0"/>
          <w:sz w:val="32"/>
          <w:szCs w:val="32"/>
          <w:highlight w:val="none"/>
        </w:rPr>
      </w:pPr>
      <w:r>
        <w:rPr>
          <w:rFonts w:hint="eastAsia" w:ascii="仿宋_GB2312" w:hAnsi="Times New Roman" w:eastAsia="仿宋_GB2312"/>
          <w:kern w:val="0"/>
          <w:sz w:val="32"/>
          <w:szCs w:val="32"/>
          <w:highlight w:val="none"/>
        </w:rPr>
        <w:t xml:space="preserve"> 用房补贴</w:t>
      </w:r>
    </w:p>
    <w:p>
      <w:pPr>
        <w:adjustRightInd w:val="0"/>
        <w:snapToGrid w:val="0"/>
        <w:spacing w:line="600" w:lineRule="exact"/>
        <w:ind w:firstLine="640" w:firstLineChars="200"/>
        <w:rPr>
          <w:rFonts w:ascii="仿宋_GB2312" w:hAnsi="黑体" w:eastAsia="仿宋_GB2312"/>
          <w:sz w:val="32"/>
          <w:szCs w:val="32"/>
          <w:highlight w:val="none"/>
        </w:rPr>
      </w:pPr>
      <w:bookmarkStart w:id="6" w:name="_Hlk17226096"/>
      <w:r>
        <w:rPr>
          <w:rFonts w:hint="eastAsia" w:ascii="仿宋_GB2312" w:hAnsi="黑体" w:eastAsia="仿宋_GB2312"/>
          <w:sz w:val="32"/>
          <w:szCs w:val="32"/>
          <w:highlight w:val="none"/>
        </w:rPr>
        <w:t>对新设立、新迁入通州区且在辖区内租用自用办公用房的符合城市副中心功能定位的重点企业，给予补贴支持，补贴期限不超过3年。</w:t>
      </w:r>
      <w:bookmarkEnd w:id="6"/>
      <w:r>
        <w:rPr>
          <w:rFonts w:ascii="仿宋_GB2312" w:hAnsi="黑体" w:eastAsia="仿宋_GB2312"/>
          <w:sz w:val="32"/>
          <w:szCs w:val="32"/>
          <w:highlight w:val="none"/>
        </w:rPr>
        <w:t>租赁自用办公用房面积应符合实际需要，租赁办公用房享受补</w:t>
      </w:r>
      <w:r>
        <w:rPr>
          <w:rFonts w:hint="eastAsia" w:ascii="仿宋_GB2312" w:hAnsi="黑体" w:eastAsia="仿宋_GB2312"/>
          <w:sz w:val="32"/>
          <w:szCs w:val="32"/>
          <w:highlight w:val="none"/>
        </w:rPr>
        <w:t>贴</w:t>
      </w:r>
      <w:r>
        <w:rPr>
          <w:rFonts w:ascii="仿宋_GB2312" w:hAnsi="黑体" w:eastAsia="仿宋_GB2312"/>
          <w:sz w:val="32"/>
          <w:szCs w:val="32"/>
          <w:highlight w:val="none"/>
        </w:rPr>
        <w:t>期间不得对外转租。</w:t>
      </w:r>
      <w:r>
        <w:rPr>
          <w:rFonts w:hint="eastAsia" w:ascii="仿宋_GB2312" w:hAnsi="黑体" w:eastAsia="仿宋_GB2312"/>
          <w:sz w:val="32"/>
          <w:szCs w:val="32"/>
          <w:highlight w:val="none"/>
        </w:rPr>
        <w:t>否则</w:t>
      </w:r>
      <w:r>
        <w:rPr>
          <w:rFonts w:ascii="仿宋_GB2312" w:hAnsi="黑体" w:eastAsia="仿宋_GB2312"/>
          <w:sz w:val="32"/>
          <w:szCs w:val="32"/>
          <w:highlight w:val="none"/>
        </w:rPr>
        <w:t>，应全额退还</w:t>
      </w:r>
      <w:r>
        <w:rPr>
          <w:rFonts w:hint="eastAsia" w:ascii="仿宋_GB2312" w:hAnsi="黑体" w:eastAsia="仿宋_GB2312"/>
          <w:sz w:val="32"/>
          <w:szCs w:val="32"/>
          <w:highlight w:val="none"/>
        </w:rPr>
        <w:t>补贴</w:t>
      </w:r>
      <w:r>
        <w:rPr>
          <w:rFonts w:ascii="仿宋_GB2312" w:hAnsi="黑体" w:eastAsia="仿宋_GB2312"/>
          <w:sz w:val="32"/>
          <w:szCs w:val="32"/>
          <w:highlight w:val="none"/>
        </w:rPr>
        <w:t>资金</w:t>
      </w:r>
      <w:r>
        <w:rPr>
          <w:rFonts w:hint="eastAsia" w:ascii="仿宋_GB2312" w:hAnsi="黑体" w:eastAsia="仿宋_GB2312"/>
          <w:sz w:val="32"/>
          <w:szCs w:val="32"/>
          <w:highlight w:val="none"/>
        </w:rPr>
        <w:t>。</w:t>
      </w:r>
    </w:p>
    <w:p>
      <w:pPr>
        <w:adjustRightInd w:val="0"/>
        <w:snapToGrid w:val="0"/>
        <w:spacing w:line="60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自建或购买办公用房的，可参考上述标准。</w:t>
      </w:r>
    </w:p>
    <w:p>
      <w:pPr>
        <w:numPr>
          <w:ilvl w:val="0"/>
          <w:numId w:val="1"/>
        </w:numPr>
        <w:adjustRightInd w:val="0"/>
        <w:snapToGrid w:val="0"/>
        <w:spacing w:line="600" w:lineRule="exact"/>
        <w:ind w:left="0" w:firstLine="640" w:firstLineChars="200"/>
        <w:rPr>
          <w:rFonts w:ascii="仿宋_GB2312" w:hAnsi="Times New Roman" w:eastAsia="仿宋_GB2312"/>
          <w:kern w:val="0"/>
          <w:sz w:val="32"/>
          <w:szCs w:val="32"/>
          <w:highlight w:val="none"/>
        </w:rPr>
      </w:pPr>
      <w:bookmarkStart w:id="7" w:name="_Hlk28047198"/>
      <w:r>
        <w:rPr>
          <w:rFonts w:hint="eastAsia" w:ascii="仿宋_GB2312" w:hAnsi="Times New Roman" w:eastAsia="仿宋_GB2312"/>
          <w:kern w:val="0"/>
          <w:sz w:val="32"/>
          <w:szCs w:val="32"/>
          <w:highlight w:val="none"/>
        </w:rPr>
        <w:t>同一申报主体自行选择申请第九条中的任一款，从优不重复。</w:t>
      </w:r>
    </w:p>
    <w:bookmarkEnd w:id="7"/>
    <w:p>
      <w:pPr>
        <w:pStyle w:val="2"/>
        <w:spacing w:beforeLines="0" w:afterLines="0"/>
        <w:rPr>
          <w:highlight w:val="none"/>
        </w:rPr>
      </w:pPr>
      <w:r>
        <w:rPr>
          <w:rFonts w:hint="eastAsia"/>
          <w:highlight w:val="none"/>
        </w:rPr>
        <w:t>第四章  申报管理</w:t>
      </w:r>
    </w:p>
    <w:p>
      <w:pPr>
        <w:numPr>
          <w:ilvl w:val="0"/>
          <w:numId w:val="1"/>
        </w:numPr>
        <w:adjustRightInd w:val="0"/>
        <w:snapToGrid w:val="0"/>
        <w:spacing w:line="600" w:lineRule="exact"/>
        <w:ind w:left="0" w:firstLine="640" w:firstLineChars="200"/>
        <w:rPr>
          <w:rFonts w:ascii="仿宋_GB2312" w:hAnsi="Times New Roman" w:eastAsia="仿宋_GB2312"/>
          <w:kern w:val="0"/>
          <w:sz w:val="32"/>
          <w:szCs w:val="32"/>
          <w:highlight w:val="none"/>
        </w:rPr>
      </w:pPr>
      <w:r>
        <w:rPr>
          <w:rFonts w:hint="eastAsia" w:ascii="仿宋_GB2312" w:hAnsi="Times New Roman" w:eastAsia="仿宋_GB2312"/>
          <w:kern w:val="0"/>
          <w:sz w:val="32"/>
          <w:szCs w:val="32"/>
          <w:highlight w:val="none"/>
        </w:rPr>
        <w:t>符合条件的申报主体依据本办法的相关要求与标准向区投资促进服务中心提出申请。</w:t>
      </w:r>
    </w:p>
    <w:p>
      <w:pPr>
        <w:numPr>
          <w:ilvl w:val="0"/>
          <w:numId w:val="1"/>
        </w:numPr>
        <w:adjustRightInd w:val="0"/>
        <w:snapToGrid w:val="0"/>
        <w:spacing w:line="600" w:lineRule="exact"/>
        <w:ind w:left="0" w:firstLine="640" w:firstLineChars="200"/>
        <w:rPr>
          <w:rFonts w:ascii="仿宋_GB2312" w:hAnsi="Times New Roman" w:eastAsia="仿宋_GB2312"/>
          <w:kern w:val="0"/>
          <w:sz w:val="32"/>
          <w:szCs w:val="32"/>
          <w:highlight w:val="none"/>
        </w:rPr>
      </w:pPr>
      <w:r>
        <w:rPr>
          <w:rFonts w:hint="eastAsia" w:ascii="仿宋_GB2312" w:hAnsi="Times New Roman" w:eastAsia="仿宋_GB2312"/>
          <w:kern w:val="0"/>
          <w:sz w:val="32"/>
          <w:szCs w:val="32"/>
          <w:highlight w:val="none"/>
        </w:rPr>
        <w:t>申报流程</w:t>
      </w:r>
    </w:p>
    <w:p>
      <w:pPr>
        <w:adjustRightInd w:val="0"/>
        <w:snapToGrid w:val="0"/>
        <w:spacing w:line="60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（一）申报主体按照相关要求，提交材料进行申报。</w:t>
      </w:r>
    </w:p>
    <w:p>
      <w:pPr>
        <w:adjustRightInd w:val="0"/>
        <w:snapToGrid w:val="0"/>
        <w:spacing w:line="60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（二）区投资促进服务中心负责受理申报，并组织初审、复审、终审。</w:t>
      </w:r>
    </w:p>
    <w:p>
      <w:pPr>
        <w:adjustRightInd w:val="0"/>
        <w:snapToGrid w:val="0"/>
        <w:spacing w:line="60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（三）区财政局按照资金使用相关规定，进行资金拨付。</w:t>
      </w:r>
    </w:p>
    <w:p>
      <w:pPr>
        <w:numPr>
          <w:ilvl w:val="0"/>
          <w:numId w:val="1"/>
        </w:numPr>
        <w:adjustRightInd w:val="0"/>
        <w:snapToGrid w:val="0"/>
        <w:spacing w:line="600" w:lineRule="exact"/>
        <w:ind w:left="0" w:firstLine="640" w:firstLineChars="200"/>
        <w:rPr>
          <w:rFonts w:ascii="仿宋_GB2312" w:hAnsi="Times New Roman" w:eastAsia="仿宋_GB2312"/>
          <w:kern w:val="0"/>
          <w:sz w:val="32"/>
          <w:szCs w:val="32"/>
          <w:highlight w:val="none"/>
        </w:rPr>
      </w:pPr>
      <w:r>
        <w:rPr>
          <w:rFonts w:hint="eastAsia" w:ascii="仿宋_GB2312" w:hAnsi="Times New Roman" w:eastAsia="仿宋_GB2312"/>
          <w:kern w:val="0"/>
          <w:sz w:val="32"/>
          <w:szCs w:val="32"/>
          <w:highlight w:val="none"/>
        </w:rPr>
        <w:t>申报主体对申请材料的合法性、真实性和有效性负全部责任。申报主体收到奖励资金后，按现行财务相关规定进行账务处理。</w:t>
      </w:r>
    </w:p>
    <w:p>
      <w:pPr>
        <w:numPr>
          <w:ilvl w:val="0"/>
          <w:numId w:val="1"/>
        </w:numPr>
        <w:adjustRightInd w:val="0"/>
        <w:snapToGrid w:val="0"/>
        <w:spacing w:line="600" w:lineRule="exact"/>
        <w:ind w:left="0" w:firstLine="640" w:firstLineChars="200"/>
        <w:rPr>
          <w:rFonts w:ascii="仿宋_GB2312" w:hAnsi="Times New Roman" w:eastAsia="仿宋_GB2312"/>
          <w:kern w:val="0"/>
          <w:sz w:val="32"/>
          <w:szCs w:val="32"/>
          <w:highlight w:val="none"/>
        </w:rPr>
      </w:pPr>
      <w:r>
        <w:rPr>
          <w:rFonts w:hint="eastAsia" w:ascii="仿宋_GB2312" w:hAnsi="Times New Roman" w:eastAsia="仿宋_GB2312"/>
          <w:kern w:val="0"/>
          <w:sz w:val="32"/>
          <w:szCs w:val="32"/>
          <w:highlight w:val="none"/>
        </w:rPr>
        <w:t>申报主体通过伪造、编造申请资料，或违反相关法律法规获取奖励资金的，一经查实即取消资格，移交司法机关处理。取消其5年内申请通州区所有产业扶持资金的资格。</w:t>
      </w:r>
    </w:p>
    <w:p>
      <w:pPr>
        <w:numPr>
          <w:ilvl w:val="0"/>
          <w:numId w:val="1"/>
        </w:numPr>
        <w:adjustRightInd w:val="0"/>
        <w:snapToGrid w:val="0"/>
        <w:spacing w:line="600" w:lineRule="exact"/>
        <w:ind w:left="0" w:firstLine="640" w:firstLineChars="200"/>
        <w:rPr>
          <w:rFonts w:ascii="仿宋_GB2312" w:hAnsi="Times New Roman" w:eastAsia="仿宋_GB2312"/>
          <w:kern w:val="0"/>
          <w:sz w:val="32"/>
          <w:szCs w:val="32"/>
          <w:highlight w:val="none"/>
        </w:rPr>
      </w:pPr>
      <w:r>
        <w:rPr>
          <w:rFonts w:hint="eastAsia" w:ascii="仿宋_GB2312" w:hAnsi="Times New Roman" w:eastAsia="仿宋_GB2312"/>
          <w:kern w:val="0"/>
          <w:sz w:val="32"/>
          <w:szCs w:val="32"/>
          <w:highlight w:val="none"/>
        </w:rPr>
        <w:t>申请金融机构入驻奖励或总部经济入驻奖励的企业，需遵守相关规定。获奖励企业原则上5年内注册登记地址不得搬离通州区，不改变在通州区的纳税纳统义务，不得减少注册资本。</w:t>
      </w:r>
    </w:p>
    <w:p>
      <w:pPr>
        <w:pStyle w:val="2"/>
        <w:spacing w:beforeLines="0" w:afterLines="0"/>
        <w:rPr>
          <w:highlight w:val="none"/>
        </w:rPr>
      </w:pPr>
      <w:r>
        <w:rPr>
          <w:rFonts w:hint="eastAsia"/>
          <w:highlight w:val="none"/>
        </w:rPr>
        <w:t xml:space="preserve">第五章 </w:t>
      </w:r>
      <w:r>
        <w:rPr>
          <w:highlight w:val="none"/>
        </w:rPr>
        <w:t xml:space="preserve"> </w:t>
      </w:r>
      <w:r>
        <w:rPr>
          <w:rFonts w:hint="eastAsia"/>
          <w:highlight w:val="none"/>
        </w:rPr>
        <w:t>附则</w:t>
      </w:r>
    </w:p>
    <w:p>
      <w:pPr>
        <w:numPr>
          <w:ilvl w:val="0"/>
          <w:numId w:val="1"/>
        </w:numPr>
        <w:adjustRightInd w:val="0"/>
        <w:snapToGrid w:val="0"/>
        <w:spacing w:line="600" w:lineRule="exact"/>
        <w:ind w:left="0" w:firstLine="640" w:firstLineChars="200"/>
        <w:rPr>
          <w:rFonts w:ascii="仿宋_GB2312" w:hAnsi="Times New Roman" w:eastAsia="仿宋_GB2312"/>
          <w:kern w:val="0"/>
          <w:sz w:val="32"/>
          <w:szCs w:val="32"/>
          <w:highlight w:val="none"/>
        </w:rPr>
      </w:pPr>
      <w:r>
        <w:rPr>
          <w:rFonts w:hint="eastAsia" w:ascii="仿宋_GB2312" w:hAnsi="Times New Roman" w:eastAsia="仿宋_GB2312"/>
          <w:kern w:val="0"/>
          <w:sz w:val="32"/>
          <w:szCs w:val="32"/>
          <w:highlight w:val="none"/>
        </w:rPr>
        <w:t>本办法由</w:t>
      </w:r>
      <w:r>
        <w:rPr>
          <w:rFonts w:ascii="仿宋_GB2312" w:hAnsi="Times New Roman" w:eastAsia="仿宋_GB2312"/>
          <w:kern w:val="0"/>
          <w:sz w:val="32"/>
          <w:szCs w:val="32"/>
          <w:highlight w:val="none"/>
        </w:rPr>
        <w:t>区</w:t>
      </w:r>
      <w:r>
        <w:rPr>
          <w:rFonts w:hint="eastAsia" w:ascii="仿宋_GB2312" w:hAnsi="Times New Roman" w:eastAsia="仿宋_GB2312"/>
          <w:kern w:val="0"/>
          <w:sz w:val="32"/>
          <w:szCs w:val="32"/>
          <w:highlight w:val="none"/>
        </w:rPr>
        <w:t>产促办、区财政局负责解释。</w:t>
      </w:r>
    </w:p>
    <w:p>
      <w:pPr>
        <w:numPr>
          <w:ilvl w:val="0"/>
          <w:numId w:val="1"/>
        </w:numPr>
        <w:adjustRightInd w:val="0"/>
        <w:snapToGrid w:val="0"/>
        <w:spacing w:line="600" w:lineRule="exact"/>
        <w:ind w:left="0" w:firstLine="640" w:firstLineChars="200"/>
        <w:rPr>
          <w:rFonts w:ascii="仿宋_GB2312" w:hAnsi="Times New Roman" w:eastAsia="仿宋_GB2312"/>
          <w:kern w:val="0"/>
          <w:sz w:val="32"/>
          <w:szCs w:val="32"/>
          <w:highlight w:val="none"/>
        </w:rPr>
      </w:pPr>
      <w:r>
        <w:rPr>
          <w:rFonts w:hint="eastAsia" w:ascii="仿宋_GB2312" w:hAnsi="Times New Roman" w:eastAsia="仿宋_GB2312"/>
          <w:kern w:val="0"/>
          <w:sz w:val="32"/>
          <w:szCs w:val="32"/>
          <w:highlight w:val="none"/>
        </w:rPr>
        <w:t>本办法自发布之日起，实施至2025年12月31日。</w:t>
      </w:r>
      <w:bookmarkEnd w:id="1"/>
      <w:r>
        <w:rPr>
          <w:rFonts w:hint="eastAsia" w:ascii="仿宋_GB2312" w:hAnsi="Times New Roman" w:eastAsia="仿宋_GB2312"/>
          <w:kern w:val="0"/>
          <w:sz w:val="32"/>
          <w:szCs w:val="32"/>
          <w:highlight w:val="none"/>
        </w:rPr>
        <w:t>执行过程中遇到国家及北京市重大政策变动，上述政策将相应调整。</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1607484"/>
      <w:docPartObj>
        <w:docPartGallery w:val="autotext"/>
      </w:docPartObj>
    </w:sdtPr>
    <w:sdtContent>
      <w:p>
        <w:pPr>
          <w:pStyle w:val="7"/>
          <w:jc w:val="center"/>
        </w:pPr>
        <w:r>
          <w:fldChar w:fldCharType="begin"/>
        </w:r>
        <w:r>
          <w:instrText xml:space="preserve">PAGE   \* MERGEFORMAT</w:instrText>
        </w:r>
        <w:r>
          <w:fldChar w:fldCharType="separate"/>
        </w:r>
        <w:r>
          <w:rPr>
            <w:lang w:val="zh-CN"/>
          </w:rPr>
          <w:t>1</w:t>
        </w:r>
        <w:r>
          <w:fldChar w:fldCharType="end"/>
        </w:r>
      </w:p>
    </w:sdtContent>
  </w:sdt>
  <w:p>
    <w:pPr>
      <w:pStyle w:val="7"/>
      <w:jc w:val="right"/>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12</w:t>
    </w:r>
    <w:r>
      <w:rPr>
        <w:rFonts w:ascii="宋体" w:hAnsi="宋体"/>
        <w:sz w:val="28"/>
        <w:szCs w:val="28"/>
      </w:rPr>
      <w:fldChar w:fldCharType="end"/>
    </w:r>
    <w:r>
      <w:rPr>
        <w:rFonts w:hint="eastAsia" w:ascii="宋体" w:hAnsi="宋体"/>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515C3F"/>
    <w:multiLevelType w:val="multilevel"/>
    <w:tmpl w:val="0F515C3F"/>
    <w:lvl w:ilvl="0" w:tentative="0">
      <w:start w:val="1"/>
      <w:numFmt w:val="chineseCountingThousand"/>
      <w:lvlText w:val="第%1条"/>
      <w:lvlJc w:val="left"/>
      <w:pPr>
        <w:ind w:left="987" w:hanging="420"/>
      </w:pPr>
      <w:rPr>
        <w:rFonts w:hint="eastAsia" w:ascii="仿宋_GB2312" w:hAnsi="楷体" w:eastAsia="仿宋_GB2312"/>
        <w:b/>
        <w:sz w:val="32"/>
        <w:szCs w:val="32"/>
        <w:lang w:val="en-US"/>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E59"/>
    <w:rsid w:val="0000405A"/>
    <w:rsid w:val="00005988"/>
    <w:rsid w:val="000123D2"/>
    <w:rsid w:val="000204A1"/>
    <w:rsid w:val="00023294"/>
    <w:rsid w:val="00033C19"/>
    <w:rsid w:val="00035B91"/>
    <w:rsid w:val="00035E30"/>
    <w:rsid w:val="0004074E"/>
    <w:rsid w:val="00043842"/>
    <w:rsid w:val="00046007"/>
    <w:rsid w:val="00057079"/>
    <w:rsid w:val="000578A2"/>
    <w:rsid w:val="00062498"/>
    <w:rsid w:val="00062F63"/>
    <w:rsid w:val="00070F6A"/>
    <w:rsid w:val="0007366E"/>
    <w:rsid w:val="00077673"/>
    <w:rsid w:val="00080887"/>
    <w:rsid w:val="0008102B"/>
    <w:rsid w:val="00081DA3"/>
    <w:rsid w:val="000829A7"/>
    <w:rsid w:val="0008493F"/>
    <w:rsid w:val="00087700"/>
    <w:rsid w:val="00091939"/>
    <w:rsid w:val="00096270"/>
    <w:rsid w:val="000970BA"/>
    <w:rsid w:val="000B1953"/>
    <w:rsid w:val="000B2CC6"/>
    <w:rsid w:val="000C57D1"/>
    <w:rsid w:val="000D1B48"/>
    <w:rsid w:val="000D3936"/>
    <w:rsid w:val="000D3FB2"/>
    <w:rsid w:val="000D5305"/>
    <w:rsid w:val="000D6795"/>
    <w:rsid w:val="000E013F"/>
    <w:rsid w:val="000E3F2D"/>
    <w:rsid w:val="000E702D"/>
    <w:rsid w:val="000E7F38"/>
    <w:rsid w:val="000F3887"/>
    <w:rsid w:val="000F40DF"/>
    <w:rsid w:val="000F620B"/>
    <w:rsid w:val="00103035"/>
    <w:rsid w:val="00104237"/>
    <w:rsid w:val="00105A34"/>
    <w:rsid w:val="00113E9E"/>
    <w:rsid w:val="001171B6"/>
    <w:rsid w:val="001171D1"/>
    <w:rsid w:val="00124158"/>
    <w:rsid w:val="00125BFE"/>
    <w:rsid w:val="0013091D"/>
    <w:rsid w:val="00131B97"/>
    <w:rsid w:val="00134D5D"/>
    <w:rsid w:val="00134E24"/>
    <w:rsid w:val="001371C5"/>
    <w:rsid w:val="001425D3"/>
    <w:rsid w:val="00156847"/>
    <w:rsid w:val="00164C9B"/>
    <w:rsid w:val="00167656"/>
    <w:rsid w:val="00180193"/>
    <w:rsid w:val="001804E8"/>
    <w:rsid w:val="0018305B"/>
    <w:rsid w:val="00183811"/>
    <w:rsid w:val="0019749D"/>
    <w:rsid w:val="001976D7"/>
    <w:rsid w:val="001A22C6"/>
    <w:rsid w:val="001A449C"/>
    <w:rsid w:val="001A5E95"/>
    <w:rsid w:val="001B2261"/>
    <w:rsid w:val="001B53FD"/>
    <w:rsid w:val="001B6248"/>
    <w:rsid w:val="001D1554"/>
    <w:rsid w:val="001D3BC1"/>
    <w:rsid w:val="001D700A"/>
    <w:rsid w:val="001E08F2"/>
    <w:rsid w:val="001E0C3F"/>
    <w:rsid w:val="001F0FBF"/>
    <w:rsid w:val="001F1CC5"/>
    <w:rsid w:val="001F6F8E"/>
    <w:rsid w:val="0020385C"/>
    <w:rsid w:val="00203A3D"/>
    <w:rsid w:val="00205C91"/>
    <w:rsid w:val="0020707A"/>
    <w:rsid w:val="00210671"/>
    <w:rsid w:val="00213F68"/>
    <w:rsid w:val="002168B8"/>
    <w:rsid w:val="002173A5"/>
    <w:rsid w:val="00223265"/>
    <w:rsid w:val="002248CF"/>
    <w:rsid w:val="00234D4C"/>
    <w:rsid w:val="002369A2"/>
    <w:rsid w:val="002420EE"/>
    <w:rsid w:val="00246505"/>
    <w:rsid w:val="00246D66"/>
    <w:rsid w:val="00247A95"/>
    <w:rsid w:val="00251221"/>
    <w:rsid w:val="002519D6"/>
    <w:rsid w:val="0025535E"/>
    <w:rsid w:val="002570AC"/>
    <w:rsid w:val="0026312E"/>
    <w:rsid w:val="00264275"/>
    <w:rsid w:val="00264483"/>
    <w:rsid w:val="00264FEF"/>
    <w:rsid w:val="00276AB6"/>
    <w:rsid w:val="002822B6"/>
    <w:rsid w:val="002834AB"/>
    <w:rsid w:val="00284712"/>
    <w:rsid w:val="002923D0"/>
    <w:rsid w:val="002A341E"/>
    <w:rsid w:val="002B6681"/>
    <w:rsid w:val="002D0CAB"/>
    <w:rsid w:val="002D2AD6"/>
    <w:rsid w:val="002D39F3"/>
    <w:rsid w:val="002D5502"/>
    <w:rsid w:val="002E0D5B"/>
    <w:rsid w:val="002E5966"/>
    <w:rsid w:val="002F1075"/>
    <w:rsid w:val="00300135"/>
    <w:rsid w:val="0030033D"/>
    <w:rsid w:val="0030481F"/>
    <w:rsid w:val="003124E3"/>
    <w:rsid w:val="003173BC"/>
    <w:rsid w:val="00321905"/>
    <w:rsid w:val="00325691"/>
    <w:rsid w:val="0033138F"/>
    <w:rsid w:val="00331EFA"/>
    <w:rsid w:val="00335D28"/>
    <w:rsid w:val="00341781"/>
    <w:rsid w:val="00342DD6"/>
    <w:rsid w:val="0035134D"/>
    <w:rsid w:val="003517BA"/>
    <w:rsid w:val="00356DE5"/>
    <w:rsid w:val="0036098D"/>
    <w:rsid w:val="00361B7C"/>
    <w:rsid w:val="00364094"/>
    <w:rsid w:val="00364822"/>
    <w:rsid w:val="003659B7"/>
    <w:rsid w:val="003708A9"/>
    <w:rsid w:val="0037488A"/>
    <w:rsid w:val="003763D0"/>
    <w:rsid w:val="003804A5"/>
    <w:rsid w:val="003948F3"/>
    <w:rsid w:val="00395A8B"/>
    <w:rsid w:val="003A1452"/>
    <w:rsid w:val="003A4288"/>
    <w:rsid w:val="003B3E5B"/>
    <w:rsid w:val="003B4C3D"/>
    <w:rsid w:val="003B5CAD"/>
    <w:rsid w:val="003C5478"/>
    <w:rsid w:val="003C7A46"/>
    <w:rsid w:val="003C7C1B"/>
    <w:rsid w:val="003C7C7D"/>
    <w:rsid w:val="003D10EF"/>
    <w:rsid w:val="003D3C38"/>
    <w:rsid w:val="003E24C6"/>
    <w:rsid w:val="003E25FB"/>
    <w:rsid w:val="003E7FFA"/>
    <w:rsid w:val="003F01E6"/>
    <w:rsid w:val="003F2057"/>
    <w:rsid w:val="003F4A40"/>
    <w:rsid w:val="003F7B58"/>
    <w:rsid w:val="00402181"/>
    <w:rsid w:val="00410AEF"/>
    <w:rsid w:val="00414DEB"/>
    <w:rsid w:val="004200C2"/>
    <w:rsid w:val="00422781"/>
    <w:rsid w:val="004251E0"/>
    <w:rsid w:val="00425FBE"/>
    <w:rsid w:val="004311CB"/>
    <w:rsid w:val="004313FF"/>
    <w:rsid w:val="0043341F"/>
    <w:rsid w:val="00434040"/>
    <w:rsid w:val="004342A6"/>
    <w:rsid w:val="004455CA"/>
    <w:rsid w:val="00447D99"/>
    <w:rsid w:val="0045133A"/>
    <w:rsid w:val="00455BAE"/>
    <w:rsid w:val="00455BC5"/>
    <w:rsid w:val="00455FF7"/>
    <w:rsid w:val="00456CEA"/>
    <w:rsid w:val="004570AB"/>
    <w:rsid w:val="00457630"/>
    <w:rsid w:val="004604A2"/>
    <w:rsid w:val="00463489"/>
    <w:rsid w:val="0046701E"/>
    <w:rsid w:val="004672CA"/>
    <w:rsid w:val="00472588"/>
    <w:rsid w:val="004729A9"/>
    <w:rsid w:val="00474BF4"/>
    <w:rsid w:val="004753BB"/>
    <w:rsid w:val="004846BE"/>
    <w:rsid w:val="00484E24"/>
    <w:rsid w:val="00492B24"/>
    <w:rsid w:val="004A2909"/>
    <w:rsid w:val="004A6110"/>
    <w:rsid w:val="004A75CB"/>
    <w:rsid w:val="004B0D17"/>
    <w:rsid w:val="004B1C1F"/>
    <w:rsid w:val="004B2121"/>
    <w:rsid w:val="004B2C89"/>
    <w:rsid w:val="004B2CF6"/>
    <w:rsid w:val="004B488B"/>
    <w:rsid w:val="004B6048"/>
    <w:rsid w:val="004B68FA"/>
    <w:rsid w:val="004B7746"/>
    <w:rsid w:val="004B7ECD"/>
    <w:rsid w:val="004C1461"/>
    <w:rsid w:val="004D1939"/>
    <w:rsid w:val="004D4C33"/>
    <w:rsid w:val="004D5919"/>
    <w:rsid w:val="004D7985"/>
    <w:rsid w:val="004E00A4"/>
    <w:rsid w:val="004E41DB"/>
    <w:rsid w:val="004E6816"/>
    <w:rsid w:val="004F2CE8"/>
    <w:rsid w:val="004F6991"/>
    <w:rsid w:val="00500E4F"/>
    <w:rsid w:val="005019BF"/>
    <w:rsid w:val="00501C2C"/>
    <w:rsid w:val="0050308D"/>
    <w:rsid w:val="00513250"/>
    <w:rsid w:val="00517236"/>
    <w:rsid w:val="005179B4"/>
    <w:rsid w:val="00520965"/>
    <w:rsid w:val="005216BF"/>
    <w:rsid w:val="00522F41"/>
    <w:rsid w:val="00525ADC"/>
    <w:rsid w:val="00527984"/>
    <w:rsid w:val="00530F0A"/>
    <w:rsid w:val="00531499"/>
    <w:rsid w:val="00533BE0"/>
    <w:rsid w:val="005349BF"/>
    <w:rsid w:val="00534EE7"/>
    <w:rsid w:val="005377B9"/>
    <w:rsid w:val="00537F1D"/>
    <w:rsid w:val="00541370"/>
    <w:rsid w:val="005435F4"/>
    <w:rsid w:val="00543921"/>
    <w:rsid w:val="00544B92"/>
    <w:rsid w:val="00550AD2"/>
    <w:rsid w:val="0055275B"/>
    <w:rsid w:val="00555BA3"/>
    <w:rsid w:val="0055734E"/>
    <w:rsid w:val="00561CB1"/>
    <w:rsid w:val="00565669"/>
    <w:rsid w:val="0056716E"/>
    <w:rsid w:val="00570C1F"/>
    <w:rsid w:val="005825CC"/>
    <w:rsid w:val="0058580C"/>
    <w:rsid w:val="00587D7F"/>
    <w:rsid w:val="00587EDE"/>
    <w:rsid w:val="005B0E93"/>
    <w:rsid w:val="005B1347"/>
    <w:rsid w:val="005B2216"/>
    <w:rsid w:val="005B4697"/>
    <w:rsid w:val="005C1332"/>
    <w:rsid w:val="005C34CA"/>
    <w:rsid w:val="005C6E33"/>
    <w:rsid w:val="005D1E6C"/>
    <w:rsid w:val="005D3830"/>
    <w:rsid w:val="005E5D9E"/>
    <w:rsid w:val="005F0135"/>
    <w:rsid w:val="0060070F"/>
    <w:rsid w:val="00606906"/>
    <w:rsid w:val="00616280"/>
    <w:rsid w:val="006170A4"/>
    <w:rsid w:val="00617EA5"/>
    <w:rsid w:val="00621962"/>
    <w:rsid w:val="00624CC6"/>
    <w:rsid w:val="006252A3"/>
    <w:rsid w:val="00625CD6"/>
    <w:rsid w:val="00627F45"/>
    <w:rsid w:val="00635571"/>
    <w:rsid w:val="00637358"/>
    <w:rsid w:val="00640A77"/>
    <w:rsid w:val="00640F69"/>
    <w:rsid w:val="00641451"/>
    <w:rsid w:val="0067215E"/>
    <w:rsid w:val="0067407D"/>
    <w:rsid w:val="00675A06"/>
    <w:rsid w:val="0068309E"/>
    <w:rsid w:val="00687D21"/>
    <w:rsid w:val="00693AA7"/>
    <w:rsid w:val="00696B0D"/>
    <w:rsid w:val="00696E3D"/>
    <w:rsid w:val="006A2A2C"/>
    <w:rsid w:val="006B2033"/>
    <w:rsid w:val="006B313C"/>
    <w:rsid w:val="006C0BA1"/>
    <w:rsid w:val="006C149A"/>
    <w:rsid w:val="006E322E"/>
    <w:rsid w:val="006E5976"/>
    <w:rsid w:val="006F362C"/>
    <w:rsid w:val="006F7BEA"/>
    <w:rsid w:val="00703F36"/>
    <w:rsid w:val="007045B5"/>
    <w:rsid w:val="00706D39"/>
    <w:rsid w:val="00711097"/>
    <w:rsid w:val="0071704F"/>
    <w:rsid w:val="007208A3"/>
    <w:rsid w:val="00724076"/>
    <w:rsid w:val="007251F5"/>
    <w:rsid w:val="007274D0"/>
    <w:rsid w:val="0072774F"/>
    <w:rsid w:val="00735645"/>
    <w:rsid w:val="00736DE2"/>
    <w:rsid w:val="0074052C"/>
    <w:rsid w:val="007406A5"/>
    <w:rsid w:val="00740747"/>
    <w:rsid w:val="00742CE8"/>
    <w:rsid w:val="00744357"/>
    <w:rsid w:val="00745B75"/>
    <w:rsid w:val="00745E49"/>
    <w:rsid w:val="00746B83"/>
    <w:rsid w:val="00754D94"/>
    <w:rsid w:val="00756012"/>
    <w:rsid w:val="00763739"/>
    <w:rsid w:val="007640D0"/>
    <w:rsid w:val="007648E8"/>
    <w:rsid w:val="00775072"/>
    <w:rsid w:val="00775305"/>
    <w:rsid w:val="00776D5D"/>
    <w:rsid w:val="00780F86"/>
    <w:rsid w:val="0078461D"/>
    <w:rsid w:val="00785FA2"/>
    <w:rsid w:val="00787AB7"/>
    <w:rsid w:val="007906DE"/>
    <w:rsid w:val="0079148A"/>
    <w:rsid w:val="00796EC2"/>
    <w:rsid w:val="007A0116"/>
    <w:rsid w:val="007A12C1"/>
    <w:rsid w:val="007A18FA"/>
    <w:rsid w:val="007A3F6B"/>
    <w:rsid w:val="007A44CA"/>
    <w:rsid w:val="007A5AAE"/>
    <w:rsid w:val="007B14A5"/>
    <w:rsid w:val="007B5A2A"/>
    <w:rsid w:val="007C0A0A"/>
    <w:rsid w:val="007C1E21"/>
    <w:rsid w:val="007C4346"/>
    <w:rsid w:val="007C44D5"/>
    <w:rsid w:val="007C5392"/>
    <w:rsid w:val="007C69AB"/>
    <w:rsid w:val="007D018F"/>
    <w:rsid w:val="007D2D75"/>
    <w:rsid w:val="007D494B"/>
    <w:rsid w:val="007D591C"/>
    <w:rsid w:val="007E0EAA"/>
    <w:rsid w:val="007E4081"/>
    <w:rsid w:val="007E5610"/>
    <w:rsid w:val="007F451D"/>
    <w:rsid w:val="007F7DBE"/>
    <w:rsid w:val="00802ED3"/>
    <w:rsid w:val="00804785"/>
    <w:rsid w:val="008123AA"/>
    <w:rsid w:val="008133F7"/>
    <w:rsid w:val="00824000"/>
    <w:rsid w:val="00830EF4"/>
    <w:rsid w:val="00832745"/>
    <w:rsid w:val="00834CA9"/>
    <w:rsid w:val="0084245E"/>
    <w:rsid w:val="008440CF"/>
    <w:rsid w:val="0084615B"/>
    <w:rsid w:val="008527C1"/>
    <w:rsid w:val="00855F29"/>
    <w:rsid w:val="0085612D"/>
    <w:rsid w:val="008626AF"/>
    <w:rsid w:val="00867EBB"/>
    <w:rsid w:val="0087691B"/>
    <w:rsid w:val="00877C5F"/>
    <w:rsid w:val="008921D6"/>
    <w:rsid w:val="008941CF"/>
    <w:rsid w:val="0089420E"/>
    <w:rsid w:val="008A2191"/>
    <w:rsid w:val="008A335E"/>
    <w:rsid w:val="008A5C17"/>
    <w:rsid w:val="008A7F53"/>
    <w:rsid w:val="008C40BC"/>
    <w:rsid w:val="008C62EF"/>
    <w:rsid w:val="008C66B4"/>
    <w:rsid w:val="008D096C"/>
    <w:rsid w:val="008D226B"/>
    <w:rsid w:val="008D7922"/>
    <w:rsid w:val="008E40AB"/>
    <w:rsid w:val="008E51A9"/>
    <w:rsid w:val="008E624A"/>
    <w:rsid w:val="008F2CD1"/>
    <w:rsid w:val="008F36CF"/>
    <w:rsid w:val="008F4367"/>
    <w:rsid w:val="0090333B"/>
    <w:rsid w:val="009061D0"/>
    <w:rsid w:val="00906EAC"/>
    <w:rsid w:val="0091080B"/>
    <w:rsid w:val="00914365"/>
    <w:rsid w:val="00915D44"/>
    <w:rsid w:val="00917221"/>
    <w:rsid w:val="00917CBA"/>
    <w:rsid w:val="0092575B"/>
    <w:rsid w:val="009345B2"/>
    <w:rsid w:val="00952FB4"/>
    <w:rsid w:val="009601D3"/>
    <w:rsid w:val="0096798D"/>
    <w:rsid w:val="00970A3F"/>
    <w:rsid w:val="0097418D"/>
    <w:rsid w:val="00982C35"/>
    <w:rsid w:val="0098318E"/>
    <w:rsid w:val="00990364"/>
    <w:rsid w:val="009921D1"/>
    <w:rsid w:val="009923ED"/>
    <w:rsid w:val="00995CD4"/>
    <w:rsid w:val="009A2C95"/>
    <w:rsid w:val="009A6DBD"/>
    <w:rsid w:val="009B1C4C"/>
    <w:rsid w:val="009C2B84"/>
    <w:rsid w:val="009D32B3"/>
    <w:rsid w:val="009D59DA"/>
    <w:rsid w:val="009D6655"/>
    <w:rsid w:val="009E07C2"/>
    <w:rsid w:val="009E26DC"/>
    <w:rsid w:val="009E3F84"/>
    <w:rsid w:val="009F0C81"/>
    <w:rsid w:val="009F3A0A"/>
    <w:rsid w:val="009F559D"/>
    <w:rsid w:val="009F5A8D"/>
    <w:rsid w:val="00A05239"/>
    <w:rsid w:val="00A0581D"/>
    <w:rsid w:val="00A1008A"/>
    <w:rsid w:val="00A218DF"/>
    <w:rsid w:val="00A22069"/>
    <w:rsid w:val="00A260E2"/>
    <w:rsid w:val="00A26CC4"/>
    <w:rsid w:val="00A36DE7"/>
    <w:rsid w:val="00A408CC"/>
    <w:rsid w:val="00A40A11"/>
    <w:rsid w:val="00A47E84"/>
    <w:rsid w:val="00A5042F"/>
    <w:rsid w:val="00A5258A"/>
    <w:rsid w:val="00A53A5A"/>
    <w:rsid w:val="00A700F0"/>
    <w:rsid w:val="00A70763"/>
    <w:rsid w:val="00A71136"/>
    <w:rsid w:val="00A73EF7"/>
    <w:rsid w:val="00A81AC9"/>
    <w:rsid w:val="00A82A2A"/>
    <w:rsid w:val="00A90DC2"/>
    <w:rsid w:val="00A9225A"/>
    <w:rsid w:val="00A9591F"/>
    <w:rsid w:val="00A95B5D"/>
    <w:rsid w:val="00A97C31"/>
    <w:rsid w:val="00AA077F"/>
    <w:rsid w:val="00AA0B72"/>
    <w:rsid w:val="00AA367B"/>
    <w:rsid w:val="00AA4521"/>
    <w:rsid w:val="00AB35F3"/>
    <w:rsid w:val="00AC1204"/>
    <w:rsid w:val="00AC4A91"/>
    <w:rsid w:val="00AD0ACB"/>
    <w:rsid w:val="00AD1A09"/>
    <w:rsid w:val="00AD766D"/>
    <w:rsid w:val="00AE1725"/>
    <w:rsid w:val="00AE1F78"/>
    <w:rsid w:val="00AE2167"/>
    <w:rsid w:val="00AE29B6"/>
    <w:rsid w:val="00AE5372"/>
    <w:rsid w:val="00AF1C79"/>
    <w:rsid w:val="00B0121E"/>
    <w:rsid w:val="00B0372E"/>
    <w:rsid w:val="00B04203"/>
    <w:rsid w:val="00B063C2"/>
    <w:rsid w:val="00B201DD"/>
    <w:rsid w:val="00B3162C"/>
    <w:rsid w:val="00B41172"/>
    <w:rsid w:val="00B50719"/>
    <w:rsid w:val="00B52049"/>
    <w:rsid w:val="00B54B75"/>
    <w:rsid w:val="00B54B91"/>
    <w:rsid w:val="00B5695F"/>
    <w:rsid w:val="00B60E64"/>
    <w:rsid w:val="00B61D5C"/>
    <w:rsid w:val="00B61F25"/>
    <w:rsid w:val="00B71E61"/>
    <w:rsid w:val="00B743F0"/>
    <w:rsid w:val="00B75648"/>
    <w:rsid w:val="00B76C80"/>
    <w:rsid w:val="00B90839"/>
    <w:rsid w:val="00B95BE0"/>
    <w:rsid w:val="00BA48D8"/>
    <w:rsid w:val="00BB1CE9"/>
    <w:rsid w:val="00BB3588"/>
    <w:rsid w:val="00BB4E5C"/>
    <w:rsid w:val="00BC299D"/>
    <w:rsid w:val="00BD48B1"/>
    <w:rsid w:val="00BE02F1"/>
    <w:rsid w:val="00BE1404"/>
    <w:rsid w:val="00BE2EF9"/>
    <w:rsid w:val="00BE3214"/>
    <w:rsid w:val="00BF3913"/>
    <w:rsid w:val="00BF3C2B"/>
    <w:rsid w:val="00C00CCD"/>
    <w:rsid w:val="00C02DC9"/>
    <w:rsid w:val="00C105B0"/>
    <w:rsid w:val="00C10D68"/>
    <w:rsid w:val="00C15F93"/>
    <w:rsid w:val="00C23CE5"/>
    <w:rsid w:val="00C24EC0"/>
    <w:rsid w:val="00C27060"/>
    <w:rsid w:val="00C30E89"/>
    <w:rsid w:val="00C3191F"/>
    <w:rsid w:val="00C33362"/>
    <w:rsid w:val="00C37AAF"/>
    <w:rsid w:val="00C44542"/>
    <w:rsid w:val="00C446B2"/>
    <w:rsid w:val="00C52B4A"/>
    <w:rsid w:val="00C537D9"/>
    <w:rsid w:val="00C54D2D"/>
    <w:rsid w:val="00C57B33"/>
    <w:rsid w:val="00C6084E"/>
    <w:rsid w:val="00C61E08"/>
    <w:rsid w:val="00C62833"/>
    <w:rsid w:val="00C62D56"/>
    <w:rsid w:val="00C727ED"/>
    <w:rsid w:val="00C82B0C"/>
    <w:rsid w:val="00C84BE7"/>
    <w:rsid w:val="00C86725"/>
    <w:rsid w:val="00C91C31"/>
    <w:rsid w:val="00C94207"/>
    <w:rsid w:val="00C968CC"/>
    <w:rsid w:val="00CA1D9A"/>
    <w:rsid w:val="00CB4EAA"/>
    <w:rsid w:val="00CB53B7"/>
    <w:rsid w:val="00CC3487"/>
    <w:rsid w:val="00CC5016"/>
    <w:rsid w:val="00CD3060"/>
    <w:rsid w:val="00CD6295"/>
    <w:rsid w:val="00CD7DB1"/>
    <w:rsid w:val="00CE31FD"/>
    <w:rsid w:val="00CF15E9"/>
    <w:rsid w:val="00CF2420"/>
    <w:rsid w:val="00CF344C"/>
    <w:rsid w:val="00CF562E"/>
    <w:rsid w:val="00CF676B"/>
    <w:rsid w:val="00D00D8F"/>
    <w:rsid w:val="00D00E59"/>
    <w:rsid w:val="00D02D82"/>
    <w:rsid w:val="00D03766"/>
    <w:rsid w:val="00D122C6"/>
    <w:rsid w:val="00D23680"/>
    <w:rsid w:val="00D24643"/>
    <w:rsid w:val="00D348F6"/>
    <w:rsid w:val="00D42DDC"/>
    <w:rsid w:val="00D43C32"/>
    <w:rsid w:val="00D44FB9"/>
    <w:rsid w:val="00D503A7"/>
    <w:rsid w:val="00D51C02"/>
    <w:rsid w:val="00D51C0F"/>
    <w:rsid w:val="00D5720F"/>
    <w:rsid w:val="00D63C3F"/>
    <w:rsid w:val="00D649C9"/>
    <w:rsid w:val="00D64C64"/>
    <w:rsid w:val="00D65ECA"/>
    <w:rsid w:val="00D679BD"/>
    <w:rsid w:val="00D70424"/>
    <w:rsid w:val="00D715E6"/>
    <w:rsid w:val="00D7219C"/>
    <w:rsid w:val="00D74747"/>
    <w:rsid w:val="00D748A5"/>
    <w:rsid w:val="00D762A2"/>
    <w:rsid w:val="00D765F8"/>
    <w:rsid w:val="00D8091E"/>
    <w:rsid w:val="00D83E6F"/>
    <w:rsid w:val="00D90FEB"/>
    <w:rsid w:val="00D93F8D"/>
    <w:rsid w:val="00D94813"/>
    <w:rsid w:val="00DA0808"/>
    <w:rsid w:val="00DA516E"/>
    <w:rsid w:val="00DB3DEB"/>
    <w:rsid w:val="00DB5A0C"/>
    <w:rsid w:val="00DC0493"/>
    <w:rsid w:val="00DC4BA6"/>
    <w:rsid w:val="00DD4961"/>
    <w:rsid w:val="00DD67AC"/>
    <w:rsid w:val="00DD6AA6"/>
    <w:rsid w:val="00DE0BEF"/>
    <w:rsid w:val="00DE3571"/>
    <w:rsid w:val="00DF0CC5"/>
    <w:rsid w:val="00DF1E33"/>
    <w:rsid w:val="00DF3058"/>
    <w:rsid w:val="00DF38A9"/>
    <w:rsid w:val="00E01EFB"/>
    <w:rsid w:val="00E02011"/>
    <w:rsid w:val="00E0467D"/>
    <w:rsid w:val="00E05871"/>
    <w:rsid w:val="00E104D5"/>
    <w:rsid w:val="00E110CB"/>
    <w:rsid w:val="00E17AFE"/>
    <w:rsid w:val="00E20355"/>
    <w:rsid w:val="00E21DA5"/>
    <w:rsid w:val="00E230CA"/>
    <w:rsid w:val="00E35C2B"/>
    <w:rsid w:val="00E36043"/>
    <w:rsid w:val="00E4547D"/>
    <w:rsid w:val="00E47F8D"/>
    <w:rsid w:val="00E5517C"/>
    <w:rsid w:val="00E6434E"/>
    <w:rsid w:val="00E75CCF"/>
    <w:rsid w:val="00E80D79"/>
    <w:rsid w:val="00E87AFC"/>
    <w:rsid w:val="00E915CE"/>
    <w:rsid w:val="00E9216B"/>
    <w:rsid w:val="00E94100"/>
    <w:rsid w:val="00E96537"/>
    <w:rsid w:val="00E96CDB"/>
    <w:rsid w:val="00EA12C7"/>
    <w:rsid w:val="00EA1C4C"/>
    <w:rsid w:val="00EA2371"/>
    <w:rsid w:val="00EA506D"/>
    <w:rsid w:val="00EA508D"/>
    <w:rsid w:val="00EB3741"/>
    <w:rsid w:val="00EB3ED4"/>
    <w:rsid w:val="00EB7039"/>
    <w:rsid w:val="00EC4412"/>
    <w:rsid w:val="00ED0475"/>
    <w:rsid w:val="00ED0DD6"/>
    <w:rsid w:val="00ED1166"/>
    <w:rsid w:val="00ED4083"/>
    <w:rsid w:val="00EE0984"/>
    <w:rsid w:val="00EE1D43"/>
    <w:rsid w:val="00EE2A9B"/>
    <w:rsid w:val="00EF0A4D"/>
    <w:rsid w:val="00EF22E4"/>
    <w:rsid w:val="00EF5EAA"/>
    <w:rsid w:val="00EF6DAD"/>
    <w:rsid w:val="00F00D7C"/>
    <w:rsid w:val="00F039E8"/>
    <w:rsid w:val="00F04011"/>
    <w:rsid w:val="00F05F22"/>
    <w:rsid w:val="00F102E5"/>
    <w:rsid w:val="00F13ACF"/>
    <w:rsid w:val="00F2220B"/>
    <w:rsid w:val="00F244AE"/>
    <w:rsid w:val="00F25818"/>
    <w:rsid w:val="00F26622"/>
    <w:rsid w:val="00F31CE3"/>
    <w:rsid w:val="00F338EC"/>
    <w:rsid w:val="00F37A66"/>
    <w:rsid w:val="00F5270E"/>
    <w:rsid w:val="00F54BE2"/>
    <w:rsid w:val="00F62791"/>
    <w:rsid w:val="00F6639E"/>
    <w:rsid w:val="00F705A0"/>
    <w:rsid w:val="00F73BC5"/>
    <w:rsid w:val="00F75C3D"/>
    <w:rsid w:val="00F76A3F"/>
    <w:rsid w:val="00F817E2"/>
    <w:rsid w:val="00F82206"/>
    <w:rsid w:val="00F9225B"/>
    <w:rsid w:val="00FB1558"/>
    <w:rsid w:val="00FC4B0B"/>
    <w:rsid w:val="00FD5BC2"/>
    <w:rsid w:val="00FD7DFC"/>
    <w:rsid w:val="00FE37FB"/>
    <w:rsid w:val="00FE4A80"/>
    <w:rsid w:val="00FE4F6E"/>
    <w:rsid w:val="00FF6629"/>
    <w:rsid w:val="01DF072E"/>
    <w:rsid w:val="03322FCF"/>
    <w:rsid w:val="0777741A"/>
    <w:rsid w:val="0D3A45F5"/>
    <w:rsid w:val="0FFD0288"/>
    <w:rsid w:val="10481F94"/>
    <w:rsid w:val="10EB5825"/>
    <w:rsid w:val="15C959D8"/>
    <w:rsid w:val="19F63661"/>
    <w:rsid w:val="1DDC384B"/>
    <w:rsid w:val="1F177AFF"/>
    <w:rsid w:val="20284014"/>
    <w:rsid w:val="22BB7703"/>
    <w:rsid w:val="23EE591E"/>
    <w:rsid w:val="26B10998"/>
    <w:rsid w:val="29F97D4D"/>
    <w:rsid w:val="2B2D68DE"/>
    <w:rsid w:val="33571F40"/>
    <w:rsid w:val="34F06880"/>
    <w:rsid w:val="37455748"/>
    <w:rsid w:val="37E92A3C"/>
    <w:rsid w:val="37F06E9E"/>
    <w:rsid w:val="42F62F30"/>
    <w:rsid w:val="4652617A"/>
    <w:rsid w:val="46C05F3F"/>
    <w:rsid w:val="4E07003E"/>
    <w:rsid w:val="4EAB5DCC"/>
    <w:rsid w:val="541B6D41"/>
    <w:rsid w:val="545F2FCE"/>
    <w:rsid w:val="570257B4"/>
    <w:rsid w:val="63032245"/>
    <w:rsid w:val="6337768B"/>
    <w:rsid w:val="645B499E"/>
    <w:rsid w:val="659E4E05"/>
    <w:rsid w:val="67262DAF"/>
    <w:rsid w:val="675C55B3"/>
    <w:rsid w:val="698B7175"/>
    <w:rsid w:val="6BAA6AE2"/>
    <w:rsid w:val="6D6D2CDE"/>
    <w:rsid w:val="71485B6D"/>
    <w:rsid w:val="731D0AB6"/>
    <w:rsid w:val="788D4684"/>
    <w:rsid w:val="795A1264"/>
    <w:rsid w:val="7BF02BB7"/>
    <w:rsid w:val="7CEC0AB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3"/>
    <w:next w:val="1"/>
    <w:link w:val="19"/>
    <w:qFormat/>
    <w:uiPriority w:val="9"/>
    <w:pPr>
      <w:widowControl/>
      <w:adjustRightInd w:val="0"/>
      <w:snapToGrid w:val="0"/>
      <w:spacing w:beforeLines="50" w:afterLines="50" w:line="600" w:lineRule="exact"/>
      <w:ind w:firstLine="0" w:firstLineChars="0"/>
      <w:jc w:val="center"/>
      <w:outlineLvl w:val="0"/>
    </w:pPr>
    <w:rPr>
      <w:rFonts w:ascii="黑体" w:hAnsi="黑体" w:eastAsia="黑体" w:cs="宋体"/>
      <w:kern w:val="0"/>
      <w:sz w:val="32"/>
      <w:szCs w:val="32"/>
    </w:rPr>
  </w:style>
  <w:style w:type="paragraph" w:styleId="4">
    <w:name w:val="heading 2"/>
    <w:basedOn w:val="1"/>
    <w:next w:val="1"/>
    <w:link w:val="2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List Paragraph"/>
    <w:basedOn w:val="1"/>
    <w:qFormat/>
    <w:uiPriority w:val="34"/>
    <w:pPr>
      <w:ind w:firstLine="420" w:firstLineChars="200"/>
    </w:pPr>
  </w:style>
  <w:style w:type="paragraph" w:styleId="5">
    <w:name w:val="annotation text"/>
    <w:basedOn w:val="1"/>
    <w:link w:val="21"/>
    <w:semiHidden/>
    <w:unhideWhenUsed/>
    <w:qFormat/>
    <w:uiPriority w:val="99"/>
    <w:pPr>
      <w:jc w:val="left"/>
    </w:pPr>
  </w:style>
  <w:style w:type="paragraph" w:styleId="6">
    <w:name w:val="Balloon Text"/>
    <w:basedOn w:val="1"/>
    <w:link w:val="23"/>
    <w:semiHidden/>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0">
    <w:name w:val="Title"/>
    <w:basedOn w:val="1"/>
    <w:next w:val="1"/>
    <w:link w:val="24"/>
    <w:qFormat/>
    <w:uiPriority w:val="10"/>
    <w:pPr>
      <w:spacing w:before="240" w:after="60"/>
      <w:jc w:val="center"/>
      <w:outlineLvl w:val="0"/>
    </w:pPr>
    <w:rPr>
      <w:rFonts w:asciiTheme="majorHAnsi" w:hAnsiTheme="majorHAnsi" w:cstheme="majorBidi"/>
      <w:b/>
      <w:bCs/>
      <w:sz w:val="32"/>
      <w:szCs w:val="32"/>
    </w:rPr>
  </w:style>
  <w:style w:type="paragraph" w:styleId="11">
    <w:name w:val="annotation subject"/>
    <w:basedOn w:val="5"/>
    <w:next w:val="5"/>
    <w:link w:val="22"/>
    <w:semiHidden/>
    <w:unhideWhenUsed/>
    <w:uiPriority w:val="99"/>
    <w:rPr>
      <w:b/>
      <w:bCs/>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annotation reference"/>
    <w:basedOn w:val="14"/>
    <w:semiHidden/>
    <w:unhideWhenUsed/>
    <w:qFormat/>
    <w:uiPriority w:val="99"/>
    <w:rPr>
      <w:sz w:val="21"/>
      <w:szCs w:val="21"/>
    </w:rPr>
  </w:style>
  <w:style w:type="character" w:customStyle="1" w:styleId="16">
    <w:name w:val="页眉 字符"/>
    <w:basedOn w:val="14"/>
    <w:link w:val="8"/>
    <w:uiPriority w:val="99"/>
    <w:rPr>
      <w:sz w:val="18"/>
      <w:szCs w:val="18"/>
    </w:rPr>
  </w:style>
  <w:style w:type="character" w:customStyle="1" w:styleId="17">
    <w:name w:val="页脚 字符1"/>
    <w:basedOn w:val="14"/>
    <w:link w:val="7"/>
    <w:qFormat/>
    <w:uiPriority w:val="99"/>
    <w:rPr>
      <w:sz w:val="18"/>
      <w:szCs w:val="18"/>
    </w:rPr>
  </w:style>
  <w:style w:type="character" w:customStyle="1" w:styleId="18">
    <w:name w:val="标题 1 Char"/>
    <w:basedOn w:val="14"/>
    <w:qFormat/>
    <w:uiPriority w:val="9"/>
    <w:rPr>
      <w:rFonts w:ascii="Calibri" w:hAnsi="Calibri" w:eastAsia="宋体" w:cs="Times New Roman"/>
      <w:b/>
      <w:bCs/>
      <w:kern w:val="44"/>
      <w:sz w:val="44"/>
      <w:szCs w:val="44"/>
    </w:rPr>
  </w:style>
  <w:style w:type="character" w:customStyle="1" w:styleId="19">
    <w:name w:val="标题 1 字符"/>
    <w:link w:val="2"/>
    <w:qFormat/>
    <w:uiPriority w:val="9"/>
    <w:rPr>
      <w:rFonts w:ascii="黑体" w:hAnsi="黑体" w:eastAsia="黑体" w:cs="宋体"/>
      <w:kern w:val="0"/>
      <w:sz w:val="32"/>
      <w:szCs w:val="32"/>
    </w:rPr>
  </w:style>
  <w:style w:type="character" w:customStyle="1" w:styleId="20">
    <w:name w:val="页脚 字符"/>
    <w:qFormat/>
    <w:uiPriority w:val="99"/>
    <w:rPr>
      <w:kern w:val="2"/>
      <w:sz w:val="18"/>
      <w:szCs w:val="18"/>
    </w:rPr>
  </w:style>
  <w:style w:type="character" w:customStyle="1" w:styleId="21">
    <w:name w:val="批注文字 字符"/>
    <w:basedOn w:val="14"/>
    <w:link w:val="5"/>
    <w:semiHidden/>
    <w:qFormat/>
    <w:uiPriority w:val="99"/>
    <w:rPr>
      <w:rFonts w:ascii="Calibri" w:hAnsi="Calibri" w:eastAsia="宋体" w:cs="Times New Roman"/>
    </w:rPr>
  </w:style>
  <w:style w:type="character" w:customStyle="1" w:styleId="22">
    <w:name w:val="批注主题 字符"/>
    <w:basedOn w:val="21"/>
    <w:link w:val="11"/>
    <w:semiHidden/>
    <w:qFormat/>
    <w:uiPriority w:val="99"/>
    <w:rPr>
      <w:rFonts w:ascii="Calibri" w:hAnsi="Calibri" w:eastAsia="宋体" w:cs="Times New Roman"/>
      <w:b/>
      <w:bCs/>
    </w:rPr>
  </w:style>
  <w:style w:type="character" w:customStyle="1" w:styleId="23">
    <w:name w:val="批注框文本 字符"/>
    <w:basedOn w:val="14"/>
    <w:link w:val="6"/>
    <w:semiHidden/>
    <w:qFormat/>
    <w:uiPriority w:val="99"/>
    <w:rPr>
      <w:rFonts w:ascii="Calibri" w:hAnsi="Calibri" w:eastAsia="宋体" w:cs="Times New Roman"/>
      <w:sz w:val="18"/>
      <w:szCs w:val="18"/>
    </w:rPr>
  </w:style>
  <w:style w:type="character" w:customStyle="1" w:styleId="24">
    <w:name w:val="标题 字符"/>
    <w:basedOn w:val="14"/>
    <w:link w:val="10"/>
    <w:qFormat/>
    <w:uiPriority w:val="10"/>
    <w:rPr>
      <w:rFonts w:eastAsia="宋体" w:asciiTheme="majorHAnsi" w:hAnsiTheme="majorHAnsi" w:cstheme="majorBidi"/>
      <w:b/>
      <w:bCs/>
      <w:sz w:val="32"/>
      <w:szCs w:val="32"/>
    </w:rPr>
  </w:style>
  <w:style w:type="paragraph" w:customStyle="1" w:styleId="25">
    <w:name w:val="Default"/>
    <w:qFormat/>
    <w:uiPriority w:val="0"/>
    <w:pPr>
      <w:widowControl w:val="0"/>
      <w:autoSpaceDE w:val="0"/>
      <w:autoSpaceDN w:val="0"/>
      <w:adjustRightInd w:val="0"/>
    </w:pPr>
    <w:rPr>
      <w:rFonts w:ascii="仿宋_GB2312" w:hAnsi="仿宋_GB2312" w:cs="仿宋_GB2312" w:eastAsiaTheme="minorEastAsia"/>
      <w:color w:val="000000"/>
      <w:kern w:val="0"/>
      <w:sz w:val="24"/>
      <w:szCs w:val="24"/>
      <w:lang w:val="en-US" w:eastAsia="zh-CN" w:bidi="ar-SA"/>
    </w:rPr>
  </w:style>
  <w:style w:type="character" w:customStyle="1" w:styleId="26">
    <w:name w:val="标题 2 字符"/>
    <w:basedOn w:val="14"/>
    <w:link w:val="4"/>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FAAE08-892D-40FD-859B-CE6701F5FB9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408</Words>
  <Characters>2327</Characters>
  <Lines>19</Lines>
  <Paragraphs>5</Paragraphs>
  <TotalTime>119</TotalTime>
  <ScaleCrop>false</ScaleCrop>
  <LinksUpToDate>false</LinksUpToDate>
  <CharactersWithSpaces>2730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2020-03-22T09:36:00Z</dcterms:created>
  <dc:creator>yangzhirong</dc:creator>
  <cp:lastModifiedBy>余祥</cp:lastModifiedBy>
  <cp:lastPrinted>2019-09-21T08:19:00Z</cp:lastPrinted>
  <dcterms:modified xsi:type="dcterms:W3CDTF">2021-03-30T11:23:23Z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7231C4AB72CC4D6E9D501694FFA4F032</vt:lpwstr>
  </property>
</Properties>
</file>